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5" w:rsidRDefault="00546355">
      <w:pPr>
        <w:pStyle w:val="20"/>
        <w:framePr w:wrap="none" w:vAnchor="page" w:hAnchor="page" w:x="1753" w:y="757"/>
        <w:shd w:val="clear" w:color="auto" w:fill="auto"/>
        <w:spacing w:after="0" w:line="600" w:lineRule="exact"/>
        <w:ind w:left="5100"/>
      </w:pPr>
    </w:p>
    <w:p w:rsidR="00546355" w:rsidRDefault="0057164E">
      <w:pPr>
        <w:pStyle w:val="1"/>
        <w:framePr w:w="9322" w:h="9027" w:hRule="exact" w:wrap="none" w:vAnchor="page" w:hAnchor="page" w:x="1753" w:y="5031"/>
        <w:shd w:val="clear" w:color="auto" w:fill="auto"/>
        <w:spacing w:before="0" w:after="240" w:line="298" w:lineRule="exact"/>
        <w:ind w:left="20" w:right="3900"/>
        <w:jc w:val="left"/>
      </w:pPr>
      <w:r>
        <w:t xml:space="preserve">Об исключении ИП </w:t>
      </w:r>
      <w:proofErr w:type="spellStart"/>
      <w:r>
        <w:t>Темирхановой</w:t>
      </w:r>
      <w:proofErr w:type="spellEnd"/>
      <w:r>
        <w:t xml:space="preserve"> 3.3. из Реестра муниципальных маршрутов регулярных перевозок в муниципальном образовании «Город Астрахань»</w:t>
      </w:r>
    </w:p>
    <w:p w:rsidR="00546355" w:rsidRDefault="0057164E">
      <w:pPr>
        <w:pStyle w:val="1"/>
        <w:framePr w:w="9322" w:h="9027" w:hRule="exact" w:wrap="none" w:vAnchor="page" w:hAnchor="page" w:x="1753" w:y="5031"/>
        <w:shd w:val="clear" w:color="auto" w:fill="auto"/>
        <w:spacing w:before="0" w:after="0" w:line="298" w:lineRule="exact"/>
        <w:ind w:left="20" w:firstLine="740"/>
        <w:jc w:val="both"/>
      </w:pPr>
      <w:proofErr w:type="gramStart"/>
      <w:r>
        <w:t>На основании дополнительного соглашения к договору простого товарищества от 15.05.2017,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</w:t>
      </w:r>
      <w:proofErr w:type="gramEnd"/>
      <w:r>
        <w:t xml:space="preserve"> Астрахань»,</w:t>
      </w:r>
    </w:p>
    <w:p w:rsidR="00546355" w:rsidRDefault="0057164E">
      <w:pPr>
        <w:pStyle w:val="1"/>
        <w:framePr w:w="9322" w:h="9027" w:hRule="exact" w:wrap="none" w:vAnchor="page" w:hAnchor="page" w:x="1753" w:y="5031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98" w:lineRule="exact"/>
        <w:ind w:left="20" w:firstLine="740"/>
        <w:jc w:val="both"/>
      </w:pPr>
      <w:r>
        <w:t xml:space="preserve">Исключить ИП </w:t>
      </w:r>
      <w:proofErr w:type="spellStart"/>
      <w:r>
        <w:t>Темирханову</w:t>
      </w:r>
      <w:proofErr w:type="spellEnd"/>
      <w:r>
        <w:t xml:space="preserve"> 3.3. из Реестра муниципальных маршрутов регулярных перевозок в муниципальном образовании «Город Астрахань».</w:t>
      </w:r>
    </w:p>
    <w:p w:rsidR="00546355" w:rsidRDefault="0057164E">
      <w:pPr>
        <w:pStyle w:val="1"/>
        <w:framePr w:w="9322" w:h="9027" w:hRule="exact" w:wrap="none" w:vAnchor="page" w:hAnchor="page" w:x="1753" w:y="503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98" w:lineRule="exact"/>
        <w:ind w:left="20" w:firstLine="740"/>
        <w:jc w:val="both"/>
      </w:pPr>
      <w: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46355" w:rsidRDefault="0057164E">
      <w:pPr>
        <w:pStyle w:val="1"/>
        <w:framePr w:w="9322" w:h="9027" w:hRule="exact" w:wrap="none" w:vAnchor="page" w:hAnchor="page" w:x="1753" w:y="5031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98" w:lineRule="exact"/>
        <w:ind w:left="20" w:firstLine="740"/>
        <w:jc w:val="both"/>
      </w:pPr>
      <w: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546355" w:rsidRDefault="0057164E">
      <w:pPr>
        <w:pStyle w:val="1"/>
        <w:framePr w:w="9322" w:h="9027" w:hRule="exact" w:wrap="none" w:vAnchor="page" w:hAnchor="page" w:x="1753" w:y="503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98" w:lineRule="exact"/>
        <w:ind w:lef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46355" w:rsidRDefault="0057164E">
      <w:pPr>
        <w:pStyle w:val="1"/>
        <w:framePr w:wrap="none" w:vAnchor="page" w:hAnchor="page" w:x="1758" w:y="14639"/>
        <w:shd w:val="clear" w:color="auto" w:fill="auto"/>
        <w:spacing w:before="0" w:after="0" w:line="240" w:lineRule="exact"/>
        <w:jc w:val="left"/>
      </w:pPr>
      <w:proofErr w:type="spellStart"/>
      <w:r>
        <w:t>И.о</w:t>
      </w:r>
      <w:proofErr w:type="spellEnd"/>
      <w:r>
        <w:t>. главы администрации</w:t>
      </w:r>
    </w:p>
    <w:p w:rsidR="00546355" w:rsidRDefault="0057164E">
      <w:pPr>
        <w:pStyle w:val="1"/>
        <w:framePr w:wrap="none" w:vAnchor="page" w:hAnchor="page" w:x="9529" w:y="14627"/>
        <w:shd w:val="clear" w:color="auto" w:fill="auto"/>
        <w:spacing w:before="0" w:after="0" w:line="240" w:lineRule="exact"/>
        <w:ind w:left="100"/>
        <w:jc w:val="left"/>
      </w:pPr>
      <w:bookmarkStart w:id="0" w:name="_GoBack"/>
      <w:bookmarkEnd w:id="0"/>
      <w:r>
        <w:t xml:space="preserve">С.Б. </w:t>
      </w:r>
      <w:proofErr w:type="spellStart"/>
      <w:r>
        <w:t>Агабеков</w:t>
      </w:r>
      <w:proofErr w:type="spellEnd"/>
    </w:p>
    <w:p w:rsidR="00546355" w:rsidRDefault="00546355">
      <w:pPr>
        <w:rPr>
          <w:sz w:val="2"/>
          <w:szCs w:val="2"/>
        </w:rPr>
        <w:sectPr w:rsidR="005463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66DD" w:rsidRDefault="00DC66DD" w:rsidP="00DC66DD">
      <w:pPr>
        <w:pStyle w:val="32"/>
        <w:framePr w:w="15950" w:h="1201" w:hRule="exact" w:wrap="none" w:vAnchor="page" w:hAnchor="page" w:x="661" w:y="1141"/>
        <w:shd w:val="clear" w:color="auto" w:fill="auto"/>
        <w:spacing w:after="0" w:line="240" w:lineRule="exact"/>
        <w:ind w:left="14020"/>
      </w:pPr>
      <w:r>
        <w:lastRenderedPageBreak/>
        <w:t>Приложение</w:t>
      </w:r>
    </w:p>
    <w:p w:rsidR="00546355" w:rsidRDefault="0057164E" w:rsidP="00DC66DD">
      <w:pPr>
        <w:pStyle w:val="1"/>
        <w:framePr w:w="15950" w:h="1201" w:hRule="exact" w:wrap="none" w:vAnchor="page" w:hAnchor="page" w:x="661" w:y="1141"/>
        <w:shd w:val="clear" w:color="auto" w:fill="auto"/>
        <w:spacing w:before="0" w:after="0" w:line="269" w:lineRule="exact"/>
        <w:ind w:left="11900" w:right="620"/>
        <w:jc w:val="left"/>
      </w:pPr>
      <w:r>
        <w:t xml:space="preserve">к распоряжению администрации муниципального образования «Город Астрахань» </w:t>
      </w:r>
    </w:p>
    <w:p w:rsidR="00546355" w:rsidRDefault="00546355">
      <w:pPr>
        <w:pStyle w:val="a6"/>
        <w:framePr w:wrap="none" w:vAnchor="page" w:hAnchor="page" w:x="15325" w:y="7975"/>
        <w:shd w:val="clear" w:color="auto" w:fill="auto"/>
        <w:spacing w:line="250" w:lineRule="exact"/>
      </w:pPr>
    </w:p>
    <w:tbl>
      <w:tblPr>
        <w:tblpPr w:leftFromText="180" w:rightFromText="180" w:vertAnchor="text" w:horzAnchor="margin" w:tblpXSpec="center" w:tblpY="3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71"/>
        <w:gridCol w:w="1570"/>
        <w:gridCol w:w="3552"/>
        <w:gridCol w:w="2554"/>
        <w:gridCol w:w="571"/>
        <w:gridCol w:w="989"/>
        <w:gridCol w:w="850"/>
        <w:gridCol w:w="826"/>
        <w:gridCol w:w="600"/>
        <w:gridCol w:w="566"/>
        <w:gridCol w:w="1560"/>
        <w:gridCol w:w="566"/>
        <w:gridCol w:w="730"/>
      </w:tblGrid>
      <w:tr w:rsidR="00DC66DD" w:rsidRPr="00DC66DD" w:rsidTr="00DC66DD">
        <w:trPr>
          <w:trHeight w:hRule="exact" w:val="454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4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65.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21ск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МИКРОРАЙОН УВД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12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РАСНОАРМЕЙ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СКАЯ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 xml:space="preserve">В прямом направлении: </w:t>
            </w:r>
            <w:r w:rsidRPr="00DC66DD">
              <w:rPr>
                <w:rStyle w:val="65pt0pt"/>
                <w:sz w:val="16"/>
                <w:szCs w:val="16"/>
              </w:rPr>
              <w:t>«СЕМИКОВКА», «РОССИЙСКАЯ», «ЦЕНТР ПРОФЕССИОНАЛЬНОЙ ПОДГОТОВКИ УМВД РОССИИ ПО АО», «СОРТСЕМОВОЩ», «ЗАВОД ЖБИ»,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«КУБАНСКАЯ», «ЗВЕЗДНАЯ», «РАДИОМАСТЕРСКАЯ», «ПРОЕЗД ВОЮБЬЕВА», «РАЗВЛЕКАТЕЛЬНЫЙ ЦЕНТР МОНАКО», 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ОСМОНАВТОВ», «ВОДОКАНАЛ», «ШКОЛА ИНТЕРНАТ №2», «АЛЛЕЯ ВОИНОВ ИНТЕРНАЦИОНАЛИСТОВ», «СК ЗВЕЗДНЫЙ»,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.С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ТУДЕНЧЕСКАЯ», «ТЦ АЛЕКСАНДРИЯ», «ГРУЗИНСКАЯ», «КРАСНЫЙ МОСТ», «ЦИРК», «ТЦ АЙСБЕРГ», «Ж/Д ВОКЗАЛ», «ПОЛИТЕХНИЧЕСКИЙ КОЛЛЕДЖ», «ШКОЛА №4», «ШКОЛА №36», «УЛ.БОТВИНА», «КРАСНОАРМЕЙСКАЯ»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>В прямом направлении: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ФУНТОВСКОЕ ШОССЕ,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УБАНСКАЯ, УЛ.ЗВЕЗДНАЯ, ПР. ВОЮБЬЕВА, УЛ.КОСМОНАВТОВ, УЛ. ЗВЕЗДНАЯ, УЛ.НИКОЛАЯ ОСТРОВСКОГО, УЛ. СТУДЕНЧЕСКАЯ,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УЛ.С.ПЕРОВСКОЙ, УЛ. НОЗДРИНА, УЛ.КР. НАБЕРЕЖНАЯ,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.П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ОБЕДЫ, УЛ.ЯБЛОЧКОВА, УЛ. БОРИСА АЛЕКСЕЕВА, УЛ.БОТВИНА, УЛ. СУТ-ЯН-СЕНА, УЛ.КРАСНОАРМЕЙСКАЯ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12,9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В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gramStart"/>
            <w:r w:rsidRPr="00DC66DD">
              <w:rPr>
                <w:rStyle w:val="65pt0pt"/>
                <w:sz w:val="16"/>
                <w:szCs w:val="16"/>
              </w:rPr>
              <w:t>установлены</w:t>
            </w:r>
            <w:proofErr w:type="gram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ых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C66DD">
              <w:rPr>
                <w:rStyle w:val="65pt0pt"/>
                <w:sz w:val="16"/>
                <w:szCs w:val="16"/>
              </w:rPr>
              <w:t>остановочны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х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 xml:space="preserve">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Регулярн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ые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перевозки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по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нерегулир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уемым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тарифам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6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Автобусы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6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17-МК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20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Евро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III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2005г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Шахмандаров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Башир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Г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анапиевич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- УУ ДПТ Гусейнов Тофик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Джамалиддинович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Шишкова Лидия Васильевна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Жаткин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Виктор Андреевич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Иосебашвили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Эльдар Николаевич Давидов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Абумуслин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Джандарович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Губайдуллин Рафик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Харисович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ХаваевАбдулгамид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Абуталибович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Магаев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Марсель Магомедович Борисова Людмила Юрьевна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Кисиев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Жадал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Вахарсолтович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Расулов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Алияр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</w:t>
            </w:r>
            <w:proofErr w:type="spellStart"/>
            <w:r w:rsidRPr="00DC66DD">
              <w:rPr>
                <w:rStyle w:val="65pt0pt"/>
                <w:sz w:val="16"/>
                <w:szCs w:val="16"/>
              </w:rPr>
              <w:t>Амирхан-Оглы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Калашников Михаил Федорович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18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06:00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18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22:20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УУ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ДПТ-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Уполно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моченн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ый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gramStart"/>
            <w:r w:rsidRPr="00DC66DD">
              <w:rPr>
                <w:rStyle w:val="65pt0pt"/>
                <w:sz w:val="16"/>
                <w:szCs w:val="16"/>
              </w:rPr>
              <w:t>участии</w:t>
            </w:r>
            <w:proofErr w:type="gram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к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договор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а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простог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о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товари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щества</w:t>
            </w:r>
            <w:proofErr w:type="spellEnd"/>
          </w:p>
        </w:tc>
      </w:tr>
      <w:tr w:rsidR="00DC66DD" w:rsidRPr="00DC66DD" w:rsidTr="00DC66DD">
        <w:trPr>
          <w:trHeight w:hRule="exact" w:val="3545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 xml:space="preserve">В обратном направлении: </w:t>
            </w:r>
            <w:r w:rsidRPr="00DC66DD">
              <w:rPr>
                <w:rStyle w:val="65pt0pt"/>
                <w:sz w:val="16"/>
                <w:szCs w:val="16"/>
              </w:rPr>
              <w:t>«КРАСНОАРМЕЙСКАЯ», «БОТВИНА», «Б. АЛЕКСЕЕВА», «ШКОЛА №4», «ПОЛИТЕХНИЧЕСКИЙ КОЛЛЕДЖ», «Ж/Д ВОКЗАЛ», «ТЦ АЙСБЕРГ», «ЦИРК», «КРАСНЫЙ МОСТ», «ГРУЗИНСКАЯ», «ТЦ АЛЕКСАНДРИЯ», 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.С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ТУДЕНЧЕСКАЯ», «СК ЗВЕЗДНЫЙ», «АЛЛЕЯ ВОИНОВ ИНТЕРНАЦИОНАЛИСТОВ», «ВОДОКАНАЛ», «ПАРК ПЛАНЕТА», «КОСМОНАВТОВ», «ГРАНД РИВЕР», «ГРАНД РИВЕР», «ПОЛИКЛИНИКА ГАЗПРОМА», «РЫБАЦКАЯ», «КУБАНСКАЯ», «ЗАВОД ЖБИ», «СОРТСЕМОВОЩ», «РОССИЙСКАЯ», «ЦЕНТР ПРОФЕССИОНАЛЬНОЙ ПОДГОТОВКИ УМВД РОССИИ ПО АО», «СЕМИКОВКА»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>В обратном направлении: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РАСНОАРМЕЙСКАЯ, УЛ. СУН-ЯТ-СЕНА, УЛ. БОТВИНА, УЛ. Б. АЛЕКСЕЕВА, УЛ. ЯБЛОЧКОВА, УЛ. ПОБЕДЫ, УЛ. КР. НАБЕРЕЖНАЯ, УЛ. С. ПЕРОВСКОЙ, УЛ. СТУДЕНЧЕСКАЯ, УЛ. Н. ОСТРОВСКОГО, УЛ. ЗВЕЗДНАЯ,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proofErr w:type="gramStart"/>
            <w:r w:rsidRPr="00DC66DD">
              <w:rPr>
                <w:rStyle w:val="65pt0pt"/>
                <w:sz w:val="16"/>
                <w:szCs w:val="16"/>
              </w:rPr>
              <w:t>ПР. ВОЮБЬЕВА, УЛ. М. ЛУКОНИНА, УЛ. КУБАНСКАЯ, ФУНТОВСКОЕ ШОССЕ, МИКРОРАЙОН УВД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12,2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C66DD" w:rsidRPr="00DC66DD" w:rsidTr="00DC66DD">
        <w:trPr>
          <w:trHeight w:hRule="exact" w:val="3553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21р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МИКРОРАЙОН УВД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12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РАСНОАРМЕЙ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СКАЯ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 xml:space="preserve">В прямом направлении: </w:t>
            </w:r>
            <w:r w:rsidRPr="00DC66DD">
              <w:rPr>
                <w:rStyle w:val="65pt0pt"/>
                <w:sz w:val="16"/>
                <w:szCs w:val="16"/>
              </w:rPr>
              <w:t>«СЕМИКОВКА», «СОРТСЕМОВОЩ», «ЗАВОД ЖБИ», «УЛ. КУБАНСКАЯ», «ТЦ ГРАНДРИВЕР», 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ОСМОНАВТОВ», «ВОДОКАНАЛ», «ШКОЛА ИНТЕРНАТ №2», «АЛЛЕЯ ВОИНОВ ИНТЕРНАЦИОНАЛИСТОВ», «СК ЗВЕЗДНЫЙ»,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.С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ТУДЕНЧЕСКАЯ», «ТЦ АЛЕКСАНДРИЯ», «ГРУЗИНСКАЯ», «КРАСНЫЙ МОСТ», «ЦИРК», «ТЦ АЙСБЕРГ», «Ж/Д ВОКЗАЛ», «ПОЛИТЕХНИЧЕСКИЙ КОЛЛЕДЖ», «УЛ.БОТВИНА», «КРАСНОАРМЕЙСКАЯ»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>В прямом направлении: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ФУНТОВСКОЕ ШОССЕ, 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УБАНСКАЯ, УЛ.ЗВЕЗДНАЯ, ПР. ВОЮБЬЕВА, УЛ.КОСМОНАВТОВ, УЛ. ЗВЕЗДНАЯ, УЛ.НИКОЛАЯ ОСТРОВСКОГО, УЛ. СТУДЕНЧЕСКАЯ,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УЛ.С.ПЕРОВСКОЙ, УЛ. НОЗДРИНА, УЛ.КР. НАБЕРЕЖНАЯ,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.П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ОБЕДЫ, УЛ.ЯБЛОЧКОВА, УЛ. БОРИСА АЛЕКСЕЕВА, УЛ.БОТВИНА, УЛ. СУТ-ЯН-СЕНА, УЛ.КРАСНОАРМЕЙСКАЯ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12,9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В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gramStart"/>
            <w:r w:rsidRPr="00DC66DD">
              <w:rPr>
                <w:rStyle w:val="65pt0pt"/>
                <w:sz w:val="16"/>
                <w:szCs w:val="16"/>
              </w:rPr>
              <w:t>установлены</w:t>
            </w:r>
            <w:proofErr w:type="gram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ых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C66DD">
              <w:rPr>
                <w:rStyle w:val="65pt0pt"/>
                <w:sz w:val="16"/>
                <w:szCs w:val="16"/>
              </w:rPr>
              <w:t>остановочны</w:t>
            </w:r>
            <w:proofErr w:type="spellEnd"/>
            <w:r w:rsidRPr="00DC66DD">
              <w:rPr>
                <w:rStyle w:val="65pt0pt"/>
                <w:sz w:val="16"/>
                <w:szCs w:val="16"/>
              </w:rPr>
              <w:t xml:space="preserve"> х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 xml:space="preserve">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Регулярн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ые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перевозки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по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регулируе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DC66DD">
              <w:rPr>
                <w:rStyle w:val="65pt0pt"/>
                <w:sz w:val="16"/>
                <w:szCs w:val="16"/>
              </w:rPr>
              <w:t>мым</w:t>
            </w:r>
            <w:proofErr w:type="spellEnd"/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тарифам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6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Автобусы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  <w:r w:rsidRPr="00DC66DD">
              <w:rPr>
                <w:rStyle w:val="65pt1pt"/>
                <w:sz w:val="16"/>
                <w:szCs w:val="16"/>
              </w:rPr>
              <w:t>2-МК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C66DD" w:rsidRPr="00DC66DD" w:rsidTr="00DC66DD">
        <w:trPr>
          <w:trHeight w:hRule="exact" w:val="35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 xml:space="preserve">В обратном направлении: </w:t>
            </w:r>
            <w:r w:rsidRPr="00DC66DD">
              <w:rPr>
                <w:rStyle w:val="65pt0pt"/>
                <w:sz w:val="16"/>
                <w:szCs w:val="16"/>
              </w:rPr>
              <w:t>«КРАСНОАРМЕЙСКАЯ», «БОТВИНА», «Б. АЛЕКСЕЕВА», «ШКОЛА №4», «ПОЛИТЕХНИЧЕСКИЙ КОЛЛЕДЖ», «Ж/Д ВОКЗАЛ», «ТЦ АЙСБЕРГ», «ЦИРК», «ГРУЗИНСКАЯ», «ТЦ АЛЕКСАНДРИЯ», «УЛ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.С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ТУДЕНЧЕСКАЯ», «СК ЗВЕЗДНЫЙ», «АЛЛЕЯ ВОИНОВ ИНТЕРНАЦИОНАЛИСТОВ», «ВОДОКАНАЛ», «ПАРК ПЛАНЕТА», «КОСМОНАВТОВ», «РЫБАЦКАЯ», «КУБАНСКАЯ», «ЗАВОД ЖБИ», «СОРТСЕМОВОЩ»,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«СЕМИКОВКА»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0"/>
                <w:b/>
                <w:bCs/>
                <w:sz w:val="16"/>
                <w:szCs w:val="16"/>
              </w:rPr>
              <w:t>В обратном направлении: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УЛ</w:t>
            </w:r>
            <w:proofErr w:type="gramStart"/>
            <w:r w:rsidRPr="00DC66DD">
              <w:rPr>
                <w:rStyle w:val="65pt0pt"/>
                <w:sz w:val="16"/>
                <w:szCs w:val="16"/>
              </w:rPr>
              <w:t>.К</w:t>
            </w:r>
            <w:proofErr w:type="gramEnd"/>
            <w:r w:rsidRPr="00DC66DD">
              <w:rPr>
                <w:rStyle w:val="65pt0pt"/>
                <w:sz w:val="16"/>
                <w:szCs w:val="16"/>
              </w:rPr>
              <w:t>РАСНОАРМЕЙСКАЯ, УЛ. СУН-ЯТ-СЕНА, УЛ. БОТВИНА, УЛ. Б. АЛЕКСЕЕВА, УЛ. ЯБЛОЧКОВА, УЛ. ПОБЕДЫ, УЛ. КР. НАБЕРЕЖНАЯ, УЛ. С. ПЕРОВСКОЙ, УЛ. СТУДЕНЧЕСКАЯ, УЛ. Н. ОСТРОВСКОГО, УЛ. ЗВЕЗДНАЯ,</w:t>
            </w:r>
          </w:p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20"/>
              <w:jc w:val="left"/>
              <w:rPr>
                <w:sz w:val="16"/>
                <w:szCs w:val="16"/>
              </w:rPr>
            </w:pPr>
            <w:proofErr w:type="gramStart"/>
            <w:r w:rsidRPr="00DC66DD">
              <w:rPr>
                <w:rStyle w:val="65pt0pt"/>
                <w:sz w:val="16"/>
                <w:szCs w:val="16"/>
              </w:rPr>
              <w:t>ПР. ВОЮБЬЕВА, УЛ. М. ЛУКОНИНА, УЛ. КУБАНСКАЯ, ФУНТОВСКОЕ ШОССЕ, МИКРОРАЙОН УВД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pStyle w:val="1"/>
              <w:shd w:val="clear" w:color="auto" w:fill="auto"/>
              <w:spacing w:before="0" w:after="0" w:line="276" w:lineRule="auto"/>
              <w:ind w:left="180"/>
              <w:jc w:val="left"/>
              <w:rPr>
                <w:sz w:val="16"/>
                <w:szCs w:val="16"/>
              </w:rPr>
            </w:pPr>
            <w:r w:rsidRPr="00DC66DD">
              <w:rPr>
                <w:rStyle w:val="65pt0pt"/>
                <w:sz w:val="16"/>
                <w:szCs w:val="16"/>
              </w:rPr>
              <w:t>12,2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DD" w:rsidRPr="00DC66DD" w:rsidRDefault="00DC66DD" w:rsidP="00DC66D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46355" w:rsidRDefault="00546355">
      <w:pPr>
        <w:rPr>
          <w:sz w:val="2"/>
          <w:szCs w:val="2"/>
        </w:rPr>
      </w:pPr>
    </w:p>
    <w:sectPr w:rsidR="0054635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12" w:rsidRDefault="00753312">
      <w:r>
        <w:separator/>
      </w:r>
    </w:p>
  </w:endnote>
  <w:endnote w:type="continuationSeparator" w:id="0">
    <w:p w:rsidR="00753312" w:rsidRDefault="007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12" w:rsidRDefault="00753312"/>
  </w:footnote>
  <w:footnote w:type="continuationSeparator" w:id="0">
    <w:p w:rsidR="00753312" w:rsidRDefault="00753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01"/>
    <w:multiLevelType w:val="multilevel"/>
    <w:tmpl w:val="301C1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6355"/>
    <w:rsid w:val="00546355"/>
    <w:rsid w:val="0057164E"/>
    <w:rsid w:val="00753312"/>
    <w:rsid w:val="009A2F5B"/>
    <w:rsid w:val="00D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/>
      <w:bCs/>
      <w:i w:val="0"/>
      <w:iCs w:val="0"/>
      <w:smallCaps w:val="0"/>
      <w:strike w:val="0"/>
      <w:spacing w:val="51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5"/>
      <w:w w:val="100"/>
      <w:position w:val="0"/>
      <w:sz w:val="24"/>
      <w:szCs w:val="24"/>
      <w:u w:val="singl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5"/>
      <w:w w:val="100"/>
      <w:position w:val="0"/>
      <w:sz w:val="24"/>
      <w:szCs w:val="24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6"/>
      <w:w w:val="100"/>
      <w:position w:val="0"/>
      <w:sz w:val="25"/>
      <w:szCs w:val="25"/>
      <w:u w:val="single"/>
      <w:lang w:val="ru-RU"/>
    </w:rPr>
  </w:style>
  <w:style w:type="character" w:customStyle="1" w:styleId="65pt0pt">
    <w:name w:val="Основной текст + 6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65pt1pt">
    <w:name w:val="Основной текст + 6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David" w:eastAsia="David" w:hAnsi="David" w:cs="David"/>
      <w:b/>
      <w:bCs/>
      <w:spacing w:val="51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9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Microsoft Sans Serif" w:eastAsia="Microsoft Sans Serif" w:hAnsi="Microsoft Sans Serif" w:cs="Microsoft Sans Serif"/>
      <w:spacing w:val="-12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3</cp:revision>
  <dcterms:created xsi:type="dcterms:W3CDTF">2017-07-14T12:41:00Z</dcterms:created>
  <dcterms:modified xsi:type="dcterms:W3CDTF">2017-07-14T13:53:00Z</dcterms:modified>
</cp:coreProperties>
</file>