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67" w:rsidRPr="00DA387F" w:rsidRDefault="00DA5A67" w:rsidP="00686860">
      <w:pPr>
        <w:pStyle w:val="a1"/>
        <w:jc w:val="center"/>
        <w:rPr>
          <w:rStyle w:val="a"/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Style w:val="a"/>
          <w:rFonts w:ascii="Times New Roman" w:hAnsi="Times New Roman" w:cs="Times New Roman"/>
          <w:color w:val="000000"/>
          <w:sz w:val="26"/>
          <w:szCs w:val="26"/>
        </w:rPr>
        <w:t xml:space="preserve">Извещение от  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</w:rPr>
        <w:t>16.</w:t>
      </w:r>
      <w:r w:rsidRPr="00DA387F">
        <w:rPr>
          <w:rStyle w:val="a"/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</w:rPr>
        <w:t>4</w:t>
      </w:r>
      <w:r w:rsidRPr="00DA387F">
        <w:rPr>
          <w:rStyle w:val="a"/>
          <w:rFonts w:ascii="Times New Roman" w:hAnsi="Times New Roman" w:cs="Times New Roman"/>
          <w:color w:val="000000"/>
          <w:sz w:val="26"/>
          <w:szCs w:val="26"/>
        </w:rPr>
        <w:t>.2019</w:t>
      </w:r>
    </w:p>
    <w:p w:rsidR="00DA5A67" w:rsidRPr="00DA387F" w:rsidRDefault="00DA5A67" w:rsidP="00686860">
      <w:pPr>
        <w:pStyle w:val="a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Style w:val="a"/>
          <w:rFonts w:ascii="Times New Roman" w:hAnsi="Times New Roman" w:cs="Times New Roman"/>
          <w:color w:val="000000"/>
          <w:sz w:val="26"/>
          <w:szCs w:val="26"/>
        </w:rPr>
        <w:t>о проведении электронного аукциона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5A67" w:rsidRPr="00DA387F" w:rsidRDefault="00DA5A67" w:rsidP="00686860">
      <w:pPr>
        <w:pStyle w:val="a1"/>
        <w:jc w:val="center"/>
        <w:rPr>
          <w:rStyle w:val="a"/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Style w:val="a"/>
          <w:rFonts w:ascii="Times New Roman" w:hAnsi="Times New Roman" w:cs="Times New Roman"/>
          <w:color w:val="000000"/>
          <w:sz w:val="26"/>
          <w:szCs w:val="26"/>
        </w:rPr>
        <w:t>на право  заключения договора на размещение нестационарного торгового объекта на территории муниципального образования «Город Астрахань»</w:t>
      </w:r>
    </w:p>
    <w:p w:rsidR="00DA5A67" w:rsidRPr="00686860" w:rsidRDefault="00DA5A67" w:rsidP="00686860">
      <w:pPr>
        <w:rPr>
          <w:lang w:eastAsia="ru-RU"/>
        </w:rPr>
      </w:pP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орган: управление торговли и поддержки предпринимательства администрации муниципального образования «Город Астрахань».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Адрес: 414000, Астраханская область, г. Астрахань, ул. Чернышевского, 6.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Контактный телефон: (8512) 24-49-11, (8512) 24-47-79.</w:t>
      </w:r>
    </w:p>
    <w:p w:rsidR="00DA5A67" w:rsidRPr="00A77C39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A77C3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A387F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A77C39">
        <w:rPr>
          <w:rFonts w:ascii="Times New Roman" w:hAnsi="Times New Roman" w:cs="Times New Roman"/>
          <w:color w:val="000000"/>
          <w:sz w:val="26"/>
          <w:szCs w:val="26"/>
        </w:rPr>
        <w:t>: 244977</w:t>
      </w:r>
      <w:r w:rsidRPr="00DA387F">
        <w:rPr>
          <w:rFonts w:ascii="Times New Roman" w:hAnsi="Times New Roman" w:cs="Times New Roman"/>
          <w:color w:val="000000"/>
          <w:sz w:val="26"/>
          <w:szCs w:val="26"/>
          <w:lang w:val="en-US"/>
        </w:rPr>
        <w:t>ast</w:t>
      </w:r>
      <w:r w:rsidRPr="00A77C39">
        <w:rPr>
          <w:rFonts w:ascii="Times New Roman" w:hAnsi="Times New Roman" w:cs="Times New Roman"/>
          <w:color w:val="000000"/>
          <w:sz w:val="26"/>
          <w:szCs w:val="26"/>
        </w:rPr>
        <w:t>@30</w:t>
      </w:r>
      <w:r w:rsidRPr="00DA387F">
        <w:rPr>
          <w:rFonts w:ascii="Times New Roman" w:hAnsi="Times New Roman" w:cs="Times New Roman"/>
          <w:color w:val="000000"/>
          <w:sz w:val="26"/>
          <w:szCs w:val="26"/>
          <w:lang w:val="en-US"/>
        </w:rPr>
        <w:t>gorod</w:t>
      </w:r>
      <w:r w:rsidRPr="00A77C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A387F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Pr="00A77C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Ответственное должностное лицо: Никольский А.Б. - начальник управления торговли и поддержки предпринимательства администрации муниципального образования «Город Астрахань».</w:t>
      </w:r>
    </w:p>
    <w:p w:rsidR="00DA5A67" w:rsidRPr="00BA10F2" w:rsidRDefault="00DA5A67" w:rsidP="00613A31">
      <w:pPr>
        <w:pStyle w:val="a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Электронный аукцион на право заключения договора на размещение нестационарного торгового объекта на территории муниципального образования «Город Астрахань» (далее – Аукцион) проводится в соответствии с </w:t>
      </w:r>
      <w:hyperlink r:id="rId6" w:history="1">
        <w:r w:rsidRPr="00DA387F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«Город Астрахань» от 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>.2019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119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размещении нестационарных торговых объектов на территории муниципального образования «Город Астрахань»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распоряжением администрации муниципального образования «Город Астрахань» от 15.04.2019 № 1024-р «О проведении электронного аукциона на право заключения договора на размещение нестационарных торговых объектов на  территории муниципального образования «Город Астрахань». 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нестационарных торговых объектов осуществляется в соответствии со </w:t>
      </w:r>
      <w:hyperlink r:id="rId7" w:history="1">
        <w:r w:rsidRPr="00DA387F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схемой</w:t>
        </w:r>
      </w:hyperlink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размещения нестационарных торговых объектов на территории муниципального образования «Город Астрахань», утвержденной </w:t>
      </w:r>
      <w:hyperlink r:id="rId8" w:history="1">
        <w:r w:rsidRPr="00DA387F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13A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редакции постановления администрации  </w:t>
      </w:r>
      <w:r w:rsidRPr="00BA10F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муниципального образования «Город Астрахань»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от 27.12.2018 №692. 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Предметом Аукциона является право на заключение договора на размещение нестационарного торгового объекта на территории муниципального образования «Город Астрахань».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на электронной площадке: sale.zakazrf.ru.</w:t>
      </w:r>
    </w:p>
    <w:p w:rsidR="00DA5A67" w:rsidRPr="00E9201C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4759">
        <w:rPr>
          <w:rFonts w:ascii="Times New Roman" w:hAnsi="Times New Roman" w:cs="Times New Roman"/>
          <w:color w:val="000000"/>
          <w:sz w:val="26"/>
          <w:szCs w:val="26"/>
        </w:rPr>
        <w:t>Дата начала приема заявок: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 10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.00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часов</w:t>
      </w:r>
      <w:r w:rsidRPr="00E9201C">
        <w:rPr>
          <w:b/>
          <w:bCs/>
          <w:color w:val="000000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местному времени (с 09 часов по московскому времени)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17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.2019 г.</w:t>
      </w:r>
    </w:p>
    <w:p w:rsidR="00DA5A67" w:rsidRPr="00E9201C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4759"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заявок: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часов</w:t>
      </w:r>
      <w:r w:rsidRPr="00E9201C">
        <w:rPr>
          <w:b/>
          <w:bCs/>
          <w:color w:val="000000"/>
          <w:sz w:val="26"/>
          <w:szCs w:val="26"/>
        </w:rPr>
        <w:t xml:space="preserve"> 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местному времени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(17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часов по московскому времени)  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.2019 г.</w:t>
      </w:r>
    </w:p>
    <w:p w:rsidR="00DA5A67" w:rsidRPr="00E24759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4759">
        <w:rPr>
          <w:rFonts w:ascii="Times New Roman" w:hAnsi="Times New Roman" w:cs="Times New Roman"/>
          <w:color w:val="000000"/>
          <w:sz w:val="26"/>
          <w:szCs w:val="26"/>
        </w:rPr>
        <w:t>Заявки принимаются ежедневно с 10.00  до 18.00 часов  по  местному времени (с 09.00  до 17.00 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асов </w:t>
      </w:r>
      <w:r w:rsidRPr="00E24759">
        <w:rPr>
          <w:rFonts w:ascii="Times New Roman" w:hAnsi="Times New Roman" w:cs="Times New Roman"/>
          <w:color w:val="000000"/>
          <w:sz w:val="26"/>
          <w:szCs w:val="26"/>
        </w:rPr>
        <w:t xml:space="preserve">по московскому времени). </w:t>
      </w:r>
    </w:p>
    <w:p w:rsidR="00DA5A67" w:rsidRPr="00E9201C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4759">
        <w:rPr>
          <w:rFonts w:ascii="Times New Roman" w:hAnsi="Times New Roman" w:cs="Times New Roman"/>
          <w:color w:val="000000"/>
          <w:sz w:val="26"/>
          <w:szCs w:val="26"/>
        </w:rPr>
        <w:t>Рассмотрение первых частей заявок на участие в электронном аукционе будет проводиться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.2019 г. в 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часов 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 местному времени. </w:t>
      </w:r>
    </w:p>
    <w:p w:rsidR="00DA5A67" w:rsidRPr="00E24759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24759">
        <w:rPr>
          <w:rFonts w:ascii="Times New Roman" w:hAnsi="Times New Roman" w:cs="Times New Roman"/>
          <w:color w:val="000000"/>
          <w:sz w:val="26"/>
          <w:szCs w:val="26"/>
        </w:rPr>
        <w:t>Проведение электронного аукциона на электронной площадке sale.zakazrf.ru будет проводиться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23.05</w:t>
      </w:r>
      <w:r w:rsidRPr="00E92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.2019 г. </w:t>
      </w:r>
      <w:r w:rsidRPr="00E247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10.00 часов по местному времени (09.00 часов по московскому времени).</w:t>
      </w:r>
    </w:p>
    <w:p w:rsidR="00DA5A67" w:rsidRPr="00DA387F" w:rsidRDefault="00DA5A67" w:rsidP="004C401E">
      <w:pPr>
        <w:pStyle w:val="a1"/>
        <w:ind w:firstLine="567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Рассмотрение вторых частей заявок на участие в электронном аукционе </w:t>
      </w:r>
      <w:r w:rsidRPr="00DA387F">
        <w:rPr>
          <w:rFonts w:ascii="Times New Roman" w:hAnsi="Times New Roman" w:cs="Calibri"/>
          <w:color w:val="000000"/>
          <w:sz w:val="26"/>
          <w:szCs w:val="26"/>
          <w:lang w:eastAsia="en-US"/>
        </w:rPr>
        <w:t>в течение 5 (пяти) рабочих дней со дня размещения на электронной площадке протокола проведения электронного аукциона.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В Аукционе может принять участие любое юридическое лицо независимо от организационно-правовой формы, формы собственности, а также индивидуальные предприниматели, осуществляющие предпринимательскую деятельность на законных основаниях.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участия в Аукционе, оформленные в соответствии с требованиями аукционной документации: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Первая часть заявки на участие в электронном аукционе;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Вторая часть заявки на участие в электронном аукционе;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выписки из Единого государственного реестра юридических лиц, полученной не ранее чем за шесть месяцев до даты размещения на официальном сайте информационного извещения о проведении электронного аукциона (для юридических лиц);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выписки из Единого государственного реестра индивидуальных предпринимателей, полученной не ранее чем за шесть месяцев до даты размещения на официальном сайте информационного извещения о проведении электронного аукциона (для индивидуальных предпринимателей);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Сканкопии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информационного извещения о проведении электронного аукциона (для иностранных лиц);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документа, подтверждающего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(руководитель);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доверенности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Сканкопия учредительных документов (для юридических </w:t>
      </w:r>
      <w:r>
        <w:rPr>
          <w:rFonts w:ascii="Times New Roman" w:hAnsi="Times New Roman" w:cs="Times New Roman"/>
          <w:color w:val="000000"/>
          <w:sz w:val="26"/>
          <w:szCs w:val="26"/>
        </w:rPr>
        <w:t>лиц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документа, удостоверяющего личность (для индивидуальных предпринимателей);</w:t>
      </w:r>
    </w:p>
    <w:p w:rsidR="00DA5A67" w:rsidRPr="00DA387F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свидетельства о государственной регистрации (для юридических лиц и индивидуальных предпринимателей);</w:t>
      </w: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387F"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Pr="00DA387F">
        <w:rPr>
          <w:rFonts w:ascii="Times New Roman" w:hAnsi="Times New Roman" w:cs="Times New Roman"/>
          <w:color w:val="000000"/>
          <w:sz w:val="26"/>
          <w:szCs w:val="26"/>
        </w:rPr>
        <w:tab/>
        <w:t>Сканкопия свидетельства о присвоении ИНН (для юридических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 лиц и индивидуальных предпринимателей);</w:t>
      </w: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>12.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ab/>
        <w:t>Сканкопия заявления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>13.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ab/>
        <w:t>Опись документов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Заявки оформляются на русском языке в письменной форме, заявка и документы, приложенные к заявке, удостоверяются электронной подписью участника аукциона. </w:t>
      </w: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Победителем 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>укциона признается участник, который предложил наиболее высокую стоимость лота и заявка которого соответствует требованиям аукционной документации.</w:t>
      </w:r>
    </w:p>
    <w:p w:rsidR="00DA5A67" w:rsidRDefault="00DA5A67" w:rsidP="00567A48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Договор  на  размещение  НТО  заключается  не  позднее  чем через 20 (двадцать)  дней  от  даты  размещения на </w:t>
      </w:r>
      <w:hyperlink r:id="rId9" w:history="1">
        <w:r w:rsidRPr="00E76C17">
          <w:rPr>
            <w:rStyle w:val="a0"/>
            <w:rFonts w:ascii="Times New Roman" w:hAnsi="Times New Roman" w:cs="Times New Roman"/>
            <w:color w:val="000000"/>
            <w:sz w:val="26"/>
            <w:szCs w:val="26"/>
          </w:rPr>
          <w:t>официальном сайте</w:t>
        </w:r>
      </w:hyperlink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муниципального  образования  «Город  Астрахань» </w:t>
      </w:r>
      <w:r w:rsidRPr="00F87D13">
        <w:rPr>
          <w:rFonts w:ascii="Times New Roman" w:hAnsi="Times New Roman" w:cs="Times New Roman"/>
          <w:color w:val="000000"/>
          <w:sz w:val="26"/>
          <w:szCs w:val="26"/>
        </w:rPr>
        <w:t>протокола  рассмотрения вторых частей заявок в электронном аукционе.</w:t>
      </w:r>
    </w:p>
    <w:p w:rsidR="00DA5A6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Стартовая 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  (минимальная)    цена    предмета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Аукциона 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  составляет:</w:t>
      </w:r>
    </w:p>
    <w:p w:rsidR="00DA5A67" w:rsidRPr="00370CE4" w:rsidRDefault="00DA5A67" w:rsidP="00370CE4">
      <w:pPr>
        <w:rPr>
          <w:lang w:eastAsia="ru-RU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851"/>
        <w:gridCol w:w="1559"/>
        <w:gridCol w:w="850"/>
        <w:gridCol w:w="1701"/>
        <w:gridCol w:w="1134"/>
        <w:gridCol w:w="1134"/>
        <w:gridCol w:w="709"/>
      </w:tblGrid>
      <w:tr w:rsidR="00DA5A67" w:rsidRPr="004C601F">
        <w:trPr>
          <w:trHeight w:val="803"/>
        </w:trPr>
        <w:tc>
          <w:tcPr>
            <w:tcW w:w="567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985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851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Площадь, кв.м</w:t>
            </w:r>
          </w:p>
        </w:tc>
        <w:tc>
          <w:tcPr>
            <w:tcW w:w="1559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Профиль объекта по факту</w:t>
            </w:r>
          </w:p>
        </w:tc>
        <w:tc>
          <w:tcPr>
            <w:tcW w:w="850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Срок размещения</w:t>
            </w:r>
          </w:p>
        </w:tc>
        <w:tc>
          <w:tcPr>
            <w:tcW w:w="1701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Стартовая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(минимальная) цена лота, руб.</w:t>
            </w:r>
          </w:p>
        </w:tc>
        <w:tc>
          <w:tcPr>
            <w:tcW w:w="1134" w:type="dxa"/>
            <w:vMerge w:val="restart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Шаг электронного аукциона (5% от стартовой (минимальной) цены лота), руб.</w:t>
            </w:r>
          </w:p>
        </w:tc>
        <w:tc>
          <w:tcPr>
            <w:tcW w:w="1843" w:type="dxa"/>
            <w:gridSpan w:val="2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Сумма денежных средств, подлежащая перечислению блокировочный субсчет для подачи заявки</w:t>
            </w:r>
          </w:p>
        </w:tc>
      </w:tr>
      <w:tr w:rsidR="00DA5A67" w:rsidRPr="004C601F">
        <w:trPr>
          <w:trHeight w:val="802"/>
        </w:trPr>
        <w:tc>
          <w:tcPr>
            <w:tcW w:w="567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в т.ч. обеспечение заявки (100% от стартовой (минимальной) цены лота), руб.</w:t>
            </w: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в т.ч. плата за участие в электронном аукционе, руб.</w:t>
            </w:r>
          </w:p>
        </w:tc>
      </w:tr>
      <w:tr w:rsidR="00DA5A67" w:rsidRPr="004C601F">
        <w:trPr>
          <w:trHeight w:val="392"/>
        </w:trPr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пр. Бумажников, 2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продовольственных товаров 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99259,32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4962,97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99259,32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rPr>
          <w:trHeight w:val="818"/>
        </w:trPr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Магистральная, 32А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яйца куриного мяса птицы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34400,57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34400,57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Хибинская, 45, кор.6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продовольственных товаров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3308,65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пл. Заводская, 41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продовольственных товаров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3308,65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пр. Воробьева, 14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колбасных изделий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170158,84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8507,95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170158,84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пр. Воробьева, 14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мучных, кондитерских изделий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170158,84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8507,95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170158,84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Звездная, 41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шиномонтажные услуги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193397,66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9669,89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193397,66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Звездная, 43, кор.1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шиномонтажные услуги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193397,66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9669,89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193397,66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Наб. Приволжского затона, 13, кор.2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напитков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3308,65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66172,88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Бабаевского, 39е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хлеба, хлебобулочных изделийо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122859,17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6142,96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122859,17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Бульварная, 10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продовольственных товаров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151252,30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1 год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7562,62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151252,30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Адмиралтейская, 1, кор.2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Адмиралтейская, 7 «б»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Адмиралтейская, 13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4095,30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204,77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4095,30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Адмиралтейская, 23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4095,30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204,77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4095,30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Адмиралтейская, (остановка общест. транспорта «пл. Октябрьская)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 xml:space="preserve">4  мес. 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Адмиралтейская, 8 «п»   (остановка «пл. Ленина»)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4095,30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204,77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4094095,30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 Кирова/Наб. 1 Мая, 102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Кирова, 7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Кирова /Ахматовская, 15/6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Кирова, 20/Чернышевского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Кирова, 21 «а/Советская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Кирова/Ленина (ВКАБАНК)</w:t>
            </w: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DA5A67" w:rsidRPr="004C601F">
        <w:tc>
          <w:tcPr>
            <w:tcW w:w="567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ул. Кирова, 30/Бабушкина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реализация кваса</w:t>
            </w:r>
          </w:p>
        </w:tc>
        <w:tc>
          <w:tcPr>
            <w:tcW w:w="850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4  мес.</w:t>
            </w:r>
          </w:p>
        </w:tc>
        <w:tc>
          <w:tcPr>
            <w:tcW w:w="1701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за 4 месяца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266,20</w:t>
            </w:r>
          </w:p>
        </w:tc>
        <w:tc>
          <w:tcPr>
            <w:tcW w:w="1134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5323,90</w:t>
            </w:r>
          </w:p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5A67" w:rsidRPr="004C601F" w:rsidRDefault="00DA5A67" w:rsidP="004C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01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</w:tbl>
    <w:p w:rsidR="00DA5A67" w:rsidRPr="00247CF3" w:rsidRDefault="00DA5A67" w:rsidP="00BD48F8">
      <w:pPr>
        <w:rPr>
          <w:rFonts w:ascii="Times New Roman" w:hAnsi="Times New Roman" w:cs="Times New Roman"/>
        </w:rPr>
      </w:pP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>Исчисляется по следующей методике:</w:t>
      </w:r>
    </w:p>
    <w:p w:rsidR="00DA5A67" w:rsidRPr="00E76C17" w:rsidRDefault="00DA5A67" w:rsidP="00686860">
      <w:pPr>
        <w:pStyle w:val="a2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НЦЛ = С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  <w:vertAlign w:val="subscript"/>
        </w:rPr>
        <w:t>кад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*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  <w:lang w:val="en-US"/>
        </w:rPr>
        <w:t>S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* 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  <w:lang w:val="en-US"/>
        </w:rPr>
        <w:t>T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* К</w:t>
      </w:r>
      <w:r>
        <w:rPr>
          <w:rFonts w:ascii="Times New Roman" w:eastAsia="BatangChe" w:hAnsi="Times New Roman" w:cs="Times New Roman"/>
          <w:color w:val="000000"/>
          <w:sz w:val="26"/>
          <w:szCs w:val="26"/>
          <w:vertAlign w:val="subscript"/>
        </w:rPr>
        <w:t>спец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* К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  <w:vertAlign w:val="subscript"/>
        </w:rPr>
        <w:t>мест</w:t>
      </w:r>
      <w:r w:rsidRPr="00E76C17">
        <w:rPr>
          <w:rFonts w:ascii="Times New Roman" w:hAnsi="Times New Roman" w:cs="Times New Roman"/>
          <w:color w:val="000000"/>
          <w:sz w:val="26"/>
          <w:szCs w:val="26"/>
        </w:rPr>
        <w:t xml:space="preserve"> , где:</w:t>
      </w:r>
    </w:p>
    <w:p w:rsidR="00DA5A67" w:rsidRPr="00E76C17" w:rsidRDefault="00DA5A67" w:rsidP="00686860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С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  <w:vertAlign w:val="subscript"/>
        </w:rPr>
        <w:t>кад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 – средний уровень кадастровой стоимости 1 кв. м земельного участка на территории г. Астрахани, утвержденный постановлением Правительства Астраханской области от 25.12.2013 №584-П, составляет 4628,51 руб.</w:t>
      </w:r>
    </w:p>
    <w:p w:rsidR="00DA5A67" w:rsidRPr="00E76C17" w:rsidRDefault="00DA5A67" w:rsidP="00686860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S - площадь места размещения, кв. м.;</w:t>
      </w:r>
    </w:p>
    <w:p w:rsidR="00DA5A67" w:rsidRPr="00E76C17" w:rsidRDefault="00DA5A67" w:rsidP="00686860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Т –  количество месяцев;</w:t>
      </w:r>
    </w:p>
    <w:p w:rsidR="00DA5A67" w:rsidRDefault="00DA5A67" w:rsidP="00686860">
      <w:pPr>
        <w:pStyle w:val="ConsPlusNormal"/>
        <w:ind w:firstLine="709"/>
        <w:jc w:val="both"/>
        <w:rPr>
          <w:rFonts w:ascii="Times New Roman" w:eastAsia="BatangChe" w:hAnsi="Times New Roman" w:cs="Times New Roman"/>
          <w:color w:val="000000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BatangChe" w:hAnsi="Times New Roman" w:cs="Times New Roman"/>
          <w:color w:val="000000"/>
          <w:sz w:val="26"/>
          <w:szCs w:val="26"/>
          <w:vertAlign w:val="subscript"/>
        </w:rPr>
        <w:t>спец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 = коэффициент</w:t>
      </w:r>
      <w:r>
        <w:rPr>
          <w:rFonts w:ascii="Times New Roman" w:eastAsia="BatangChe" w:hAnsi="Times New Roman" w:cs="Times New Roman"/>
          <w:color w:val="000000"/>
          <w:sz w:val="26"/>
          <w:szCs w:val="26"/>
        </w:rPr>
        <w:t>, учитывающий специализацию нестационарного торгового объекта;</w:t>
      </w:r>
    </w:p>
    <w:p w:rsidR="00DA5A67" w:rsidRDefault="00DA5A67" w:rsidP="00686860">
      <w:pPr>
        <w:pStyle w:val="ConsPlusNormal"/>
        <w:ind w:firstLine="709"/>
        <w:jc w:val="both"/>
        <w:rPr>
          <w:rFonts w:ascii="Times New Roman" w:eastAsia="BatangChe" w:hAnsi="Times New Roman"/>
          <w:color w:val="000000"/>
          <w:sz w:val="26"/>
          <w:szCs w:val="26"/>
        </w:rPr>
      </w:pP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>К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  <w:vertAlign w:val="subscript"/>
        </w:rPr>
        <w:t>мест</w:t>
      </w:r>
      <w:r w:rsidRPr="00E76C17">
        <w:rPr>
          <w:rFonts w:ascii="Times New Roman" w:eastAsia="BatangChe" w:hAnsi="Times New Roman" w:cs="Times New Roman"/>
          <w:color w:val="000000"/>
          <w:sz w:val="26"/>
          <w:szCs w:val="26"/>
        </w:rPr>
        <w:t xml:space="preserve"> = коэффициент, учитывающий место размещения НТО.</w:t>
      </w:r>
    </w:p>
    <w:p w:rsidR="00DA5A67" w:rsidRPr="00E76C17" w:rsidRDefault="00DA5A67" w:rsidP="00686860">
      <w:pPr>
        <w:pStyle w:val="ConsPlusNormal"/>
        <w:ind w:firstLine="709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color w:val="000000"/>
          <w:sz w:val="26"/>
          <w:szCs w:val="26"/>
        </w:rPr>
        <w:t>Место размещения нестационарных торговых объектов (прилагаются выкопировки из плана города в формате М 1:500 с указанием адреса и номера лота):</w:t>
      </w:r>
    </w:p>
    <w:p w:rsidR="00DA5A67" w:rsidRDefault="00DA5A67" w:rsidP="009B2C72">
      <w:pPr>
        <w:spacing w:after="0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DA5A67" w:rsidRPr="009B2C72" w:rsidRDefault="00DA5A67" w:rsidP="009B2C72">
      <w:pPr>
        <w:spacing w:after="0"/>
        <w:ind w:firstLine="567"/>
        <w:rPr>
          <w:sz w:val="26"/>
          <w:szCs w:val="26"/>
          <w:lang w:eastAsia="ru-RU"/>
        </w:rPr>
      </w:pPr>
      <w:r w:rsidRPr="004F68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 размещения нестационарных торговых объектов:</w:t>
      </w:r>
    </w:p>
    <w:p w:rsidR="00DA5A67" w:rsidRDefault="00DA5A67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C17">
        <w:rPr>
          <w:rFonts w:ascii="Times New Roman" w:hAnsi="Times New Roman" w:cs="Times New Roman"/>
          <w:sz w:val="26"/>
          <w:szCs w:val="26"/>
          <w:lang w:eastAsia="ru-RU"/>
        </w:rPr>
        <w:t>- в отношении лотов №1-</w:t>
      </w:r>
      <w:r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(включительно)   с даты заключения договора на 7 (семь)  лет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A5A67" w:rsidRPr="00E76C17" w:rsidRDefault="00DA5A67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- в отношении лотов № 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E76C17">
        <w:rPr>
          <w:rFonts w:ascii="Times New Roman" w:hAnsi="Times New Roman" w:cs="Times New Roman"/>
          <w:sz w:val="26"/>
          <w:szCs w:val="26"/>
          <w:lang w:eastAsia="ru-RU"/>
        </w:rPr>
        <w:t xml:space="preserve"> (включительно) с даты заключения договора до 01.10.2019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A5A67" w:rsidRDefault="00DA5A67" w:rsidP="00E92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Pr="00E76C17" w:rsidRDefault="00DA5A67" w:rsidP="00686860">
      <w:pPr>
        <w:pStyle w:val="a1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6C1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Период функционирования и площадь места размещения: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круглогодично</w:t>
      </w:r>
      <w:r w:rsidRPr="00E76C1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A5A67" w:rsidRDefault="00DA5A67" w:rsidP="00406362">
      <w:pPr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5A67" w:rsidRDefault="00DA5A67" w:rsidP="00406362">
      <w:pPr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ТРУСОВСКИЙ Р</w:t>
      </w:r>
      <w:r w:rsidRPr="00E76C1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АЙОН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1E4">
        <w:rPr>
          <w:rFonts w:ascii="Times New Roman" w:hAnsi="Times New Roman" w:cs="Times New Roman"/>
          <w:sz w:val="26"/>
          <w:szCs w:val="26"/>
          <w:lang w:eastAsia="ru-RU"/>
        </w:rPr>
        <w:t>ЛОТ № 1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пр. Бумажников, 2 – павильон,  площадь  места  размещения  не  более -15              кв.м.,  реализация продовольственных товаров.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2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Магистральная, 32 А  -  киоск,   площадь  места  размещения   не  более - 8              кв.м., реализация  яйца куриного,  мяса  птицы.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3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Хибинская, 45, кор.6  -  павильон,  площадь  места  размещения  не  более - 10           кв.м., реализация  продовольственных товаров.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4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пл. Заводская, 41  -  киоск,  площадь  места  размещения  не  более -  10 кв.м.,   реализация продовольственных товаров.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Pr="00640E3E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Pr="00640E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СОВЕТСКИЙ РАЙОН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5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пр. Воробьева, 14  -  павильон, площадь  места  размещения  не  более - 18 кв.м.,  реализация колбасных  изделий.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ЛОТ № 6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пр. Воробъева, 14  -  павильон,  площадь  места  размещения  не   более -18 кв.м.,  реализация мучных,   кондитерских  изделий.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ЛОТ № 7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Звездная , 41  -  павильон,  площадь  места  размещения  не  более  -   20 кв.м., шиномонтажные  услуги.</w:t>
      </w:r>
    </w:p>
    <w:p w:rsidR="00DA5A67" w:rsidRDefault="00DA5A67" w:rsidP="00640E3E">
      <w:pPr>
        <w:spacing w:after="0" w:line="240" w:lineRule="auto"/>
        <w:ind w:firstLine="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8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Звездная , 43, кор.1 -  павильон, площадь  места  размещения  не  более  -  20 кв.м. шиномонтажные  услуги.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9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Наб. Приволжского  затона, 13, кор.2 -  автолавка, площадь  места  размещения  не  более  - 7 кв.м.,  автолавка.    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Pr="00640E3E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640E3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ЛЕНИНСКИЙ РАЙОН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10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Бабаевского, 39е  -  павильон, площадь  места  размещения  не  более – 20 кв.м., реализация  хлеба  и  хлебобулочных изделий.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11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Бульварная, 10  -  павильон, площадь места размещения  не  более - 16 кв.м.,  реализация   продовольственных  товаров.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Pr="001761E4" w:rsidRDefault="00DA5A67" w:rsidP="004D7C0E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761E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Период функционирования и площадь места размещения: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весна-осень </w:t>
      </w:r>
      <w:r w:rsidRPr="001761E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A5A67" w:rsidRPr="001761E4" w:rsidRDefault="00DA5A67" w:rsidP="004D7C0E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1761E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КИРОВСКИЙ РАЙОН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 12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Адмиралтейская, 1, корп.2 -  квасной аппарат, площадь  места  размещения  не  более - 2  кв.м., реализация  кваса.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 13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Адмиралтейская, 7 «б» -  квасной  аппарат,  площадь  места  размещения  не  более  - 2 кв.м., реализация  кваса. 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 14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ул. Адмиралтейская, 13 -  квасной аппарат, площадь  места  размещения  не  более - 2 кв.м., реализация  кваса. 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15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Адмиралтейская, 23  -  квасной аппарат, площадь  места размещения    не  более -  2  кв.м., реализация  кваса.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16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Адмиралтейская (остановка  общественного транспорта « пл. Октябрьская») -  квасной аппарат,  площадь  места  размещения  не  более -  2 кв.м., реализация кваса.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17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ул. Адмиралтейская, 8 «п» ( остановка « пл. Ленина»)  -  квасной аппарат, площадь  места  размещения  не  более -  2 кв.м.,  реализация кваса.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ЛОТ № 18</w:t>
      </w: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7.1pt;margin-top:-26.25pt;width:515.25pt;height:724.9pt;z-index:251658240;visibility:visible">
            <v:imagedata r:id="rId10" o:title=""/>
            <w10:wrap type="square"/>
          </v:shape>
        </w:pict>
      </w:r>
      <w:bookmarkEnd w:id="0"/>
    </w:p>
    <w:p w:rsidR="00DA5A67" w:rsidRDefault="00DA5A67" w:rsidP="004D7C0E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A5A67" w:rsidSect="00F87D1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67" w:rsidRDefault="00DA5A67">
      <w:pPr>
        <w:spacing w:after="0" w:line="240" w:lineRule="auto"/>
      </w:pPr>
      <w:r>
        <w:separator/>
      </w:r>
    </w:p>
  </w:endnote>
  <w:endnote w:type="continuationSeparator" w:id="0">
    <w:p w:rsidR="00DA5A67" w:rsidRDefault="00DA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67" w:rsidRDefault="00DA5A67" w:rsidP="00F87D13">
    <w:pPr>
      <w:pStyle w:val="Footer"/>
      <w:tabs>
        <w:tab w:val="left" w:pos="2925"/>
      </w:tabs>
    </w:pPr>
    <w:r>
      <w:tab/>
    </w:r>
    <w:r>
      <w:tab/>
    </w:r>
  </w:p>
  <w:p w:rsidR="00DA5A67" w:rsidRDefault="00DA5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67" w:rsidRDefault="00DA5A67">
      <w:pPr>
        <w:spacing w:after="0" w:line="240" w:lineRule="auto"/>
      </w:pPr>
      <w:r>
        <w:separator/>
      </w:r>
    </w:p>
  </w:footnote>
  <w:footnote w:type="continuationSeparator" w:id="0">
    <w:p w:rsidR="00DA5A67" w:rsidRDefault="00DA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67" w:rsidRDefault="00DA5A6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A5A67" w:rsidRDefault="00DA5A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9DF"/>
    <w:rsid w:val="00020DF9"/>
    <w:rsid w:val="000C2A65"/>
    <w:rsid w:val="001761E4"/>
    <w:rsid w:val="00192C8D"/>
    <w:rsid w:val="00247CF3"/>
    <w:rsid w:val="002578A1"/>
    <w:rsid w:val="002E2D68"/>
    <w:rsid w:val="00326673"/>
    <w:rsid w:val="0033494C"/>
    <w:rsid w:val="00340FB6"/>
    <w:rsid w:val="00355CE3"/>
    <w:rsid w:val="00370CE4"/>
    <w:rsid w:val="003A2133"/>
    <w:rsid w:val="00402AD2"/>
    <w:rsid w:val="00406362"/>
    <w:rsid w:val="00441814"/>
    <w:rsid w:val="004513F6"/>
    <w:rsid w:val="004A46B2"/>
    <w:rsid w:val="004B7F18"/>
    <w:rsid w:val="004C401E"/>
    <w:rsid w:val="004C601F"/>
    <w:rsid w:val="004D7C0E"/>
    <w:rsid w:val="004F68E1"/>
    <w:rsid w:val="00536A5B"/>
    <w:rsid w:val="00552963"/>
    <w:rsid w:val="00567A48"/>
    <w:rsid w:val="00613A31"/>
    <w:rsid w:val="00640180"/>
    <w:rsid w:val="00640E3E"/>
    <w:rsid w:val="006620C6"/>
    <w:rsid w:val="00686860"/>
    <w:rsid w:val="00715D4F"/>
    <w:rsid w:val="00746745"/>
    <w:rsid w:val="00774AE9"/>
    <w:rsid w:val="007A34DB"/>
    <w:rsid w:val="007E31D1"/>
    <w:rsid w:val="00834A94"/>
    <w:rsid w:val="00847057"/>
    <w:rsid w:val="0085326F"/>
    <w:rsid w:val="00921F1D"/>
    <w:rsid w:val="00922365"/>
    <w:rsid w:val="0094163E"/>
    <w:rsid w:val="009B2C72"/>
    <w:rsid w:val="00A40973"/>
    <w:rsid w:val="00A77312"/>
    <w:rsid w:val="00A77C39"/>
    <w:rsid w:val="00B11748"/>
    <w:rsid w:val="00B82AA0"/>
    <w:rsid w:val="00BA10F2"/>
    <w:rsid w:val="00BD48F8"/>
    <w:rsid w:val="00C11487"/>
    <w:rsid w:val="00D720C2"/>
    <w:rsid w:val="00DA387F"/>
    <w:rsid w:val="00DA5A67"/>
    <w:rsid w:val="00E24759"/>
    <w:rsid w:val="00E44BDF"/>
    <w:rsid w:val="00E72670"/>
    <w:rsid w:val="00E76C17"/>
    <w:rsid w:val="00E9201C"/>
    <w:rsid w:val="00ED71E7"/>
    <w:rsid w:val="00F769DF"/>
    <w:rsid w:val="00F87D13"/>
    <w:rsid w:val="00F96391"/>
    <w:rsid w:val="00FC41A9"/>
    <w:rsid w:val="00FE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6860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860"/>
  </w:style>
  <w:style w:type="paragraph" w:styleId="Footer">
    <w:name w:val="footer"/>
    <w:basedOn w:val="Normal"/>
    <w:link w:val="FooterChar"/>
    <w:uiPriority w:val="99"/>
    <w:rsid w:val="0068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860"/>
  </w:style>
  <w:style w:type="character" w:customStyle="1" w:styleId="a">
    <w:name w:val="Цветовое выделение"/>
    <w:uiPriority w:val="99"/>
    <w:rsid w:val="00686860"/>
    <w:rPr>
      <w:b/>
      <w:bCs/>
      <w:color w:val="auto"/>
    </w:rPr>
  </w:style>
  <w:style w:type="character" w:customStyle="1" w:styleId="a0">
    <w:name w:val="Гипертекстовая ссылка"/>
    <w:uiPriority w:val="99"/>
    <w:rsid w:val="00686860"/>
    <w:rPr>
      <w:color w:val="auto"/>
    </w:rPr>
  </w:style>
  <w:style w:type="paragraph" w:customStyle="1" w:styleId="a1">
    <w:name w:val="Таблицы (моноширинный)"/>
    <w:basedOn w:val="Normal"/>
    <w:next w:val="Normal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68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5C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051062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9051062&amp;sub=100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9053765&amp;sub=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9190072&amp;sub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1975</Words>
  <Characters>11264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от  16</dc:title>
  <dc:subject/>
  <dc:creator>Легковская Ольга Николаевна</dc:creator>
  <cp:keywords/>
  <dc:description/>
  <cp:lastModifiedBy>Zayac</cp:lastModifiedBy>
  <cp:revision>2</cp:revision>
  <cp:lastPrinted>2019-04-16T11:19:00Z</cp:lastPrinted>
  <dcterms:created xsi:type="dcterms:W3CDTF">2019-04-16T14:13:00Z</dcterms:created>
  <dcterms:modified xsi:type="dcterms:W3CDTF">2019-04-16T14:13:00Z</dcterms:modified>
</cp:coreProperties>
</file>