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yle19"/>
        <w:spacing w:lineRule="exact" w:line="289" w:before="0" w:after="0"/>
        <w:ind w:left="357" w:right="614" w:hanging="0"/>
        <w:contextualSpacing/>
        <w:jc w:val="center"/>
        <w:rPr>
          <w:sz w:val="27"/>
          <w:szCs w:val="27"/>
        </w:rPr>
      </w:pPr>
      <w:r>
        <w:rPr>
          <w:rFonts w:eastAsia="Times New Roman" w:cs="Times New Roman"/>
          <w:b/>
          <w:bCs/>
          <w:color w:val="000000"/>
          <w:spacing w:val="-4"/>
          <w:sz w:val="27"/>
          <w:szCs w:val="27"/>
        </w:rPr>
        <w:t>Заключение о результатах общественных обсуждений</w:t>
      </w:r>
    </w:p>
    <w:p>
      <w:pPr>
        <w:pStyle w:val="Normal"/>
        <w:jc w:val="center"/>
        <w:rPr>
          <w:rFonts w:eastAsia="Arial" w:cs="Times New Roman"/>
          <w:b/>
          <w:b/>
          <w:bCs/>
          <w:color w:val="000000"/>
          <w:spacing w:val="2"/>
          <w:kern w:val="0"/>
          <w:sz w:val="27"/>
          <w:szCs w:val="27"/>
          <w:lang w:bidi="ar-SA"/>
        </w:rPr>
      </w:pPr>
      <w:r>
        <w:rPr>
          <w:rFonts w:eastAsia="Arial" w:cs="Times New Roman"/>
          <w:b/>
          <w:bCs/>
          <w:color w:val="000000"/>
          <w:spacing w:val="2"/>
          <w:kern w:val="0"/>
          <w:sz w:val="27"/>
          <w:szCs w:val="27"/>
          <w:lang w:bidi="ar-SA"/>
        </w:rPr>
        <w:t>по проекту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в отношении земельного участка площадью 2310 кв. м с кадастровым номером 30:12:010407:6, расположенного по адресу: Российская Федерация, Астраханская область,</w:t>
        <w:br/>
        <w:t>г. Астрахань, р-н Кировский, ул. Максима Горького/Лейтенанта Шмидта»</w:t>
      </w:r>
    </w:p>
    <w:p>
      <w:pPr>
        <w:pStyle w:val="Normal"/>
        <w:jc w:val="center"/>
        <w:rPr>
          <w:rFonts w:eastAsia="Arial" w:cs="Times New Roman"/>
          <w:b/>
          <w:b/>
          <w:bCs/>
          <w:color w:val="000000"/>
          <w:spacing w:val="2"/>
          <w:kern w:val="0"/>
          <w:sz w:val="27"/>
          <w:szCs w:val="27"/>
          <w:lang w:bidi="ar-SA"/>
        </w:rPr>
      </w:pPr>
      <w:r>
        <w:rPr>
          <w:rFonts w:eastAsia="Arial" w:cs="Times New Roman"/>
          <w:b/>
          <w:bCs/>
          <w:color w:val="000000"/>
          <w:spacing w:val="2"/>
          <w:kern w:val="0"/>
          <w:sz w:val="27"/>
          <w:szCs w:val="27"/>
          <w:lang w:bidi="ar-SA"/>
        </w:rPr>
      </w:r>
    </w:p>
    <w:p>
      <w:pPr>
        <w:pStyle w:val="Normal"/>
        <w:rPr>
          <w:sz w:val="27"/>
          <w:szCs w:val="27"/>
        </w:rPr>
      </w:pPr>
      <w:r>
        <w:rPr>
          <w:color w:val="000000"/>
          <w:sz w:val="27"/>
          <w:szCs w:val="27"/>
        </w:rPr>
        <w:t xml:space="preserve">Дата оформления заключения </w:t>
      </w:r>
      <w:r>
        <w:rPr>
          <w:rFonts w:eastAsia="Symbol"/>
          <w:color w:val="000000"/>
          <w:sz w:val="27"/>
          <w:szCs w:val="27"/>
        </w:rPr>
        <w:t>«</w:t>
      </w:r>
      <w:r>
        <w:rPr>
          <w:rFonts w:eastAsia="Symbol"/>
          <w:color w:val="000000"/>
          <w:sz w:val="27"/>
          <w:szCs w:val="27"/>
          <w:u w:val="single"/>
        </w:rPr>
        <w:t xml:space="preserve"> 28 </w:t>
      </w:r>
      <w:r>
        <w:rPr>
          <w:rFonts w:eastAsia="Symbol"/>
          <w:color w:val="000000"/>
          <w:sz w:val="27"/>
          <w:szCs w:val="27"/>
        </w:rPr>
        <w:t>«</w:t>
      </w:r>
      <w:r>
        <w:rPr>
          <w:rFonts w:eastAsia="Symbol"/>
          <w:color w:val="000000"/>
          <w:sz w:val="27"/>
          <w:szCs w:val="27"/>
          <w:u w:val="single"/>
        </w:rPr>
        <w:t xml:space="preserve"> августа </w:t>
      </w:r>
      <w:r>
        <w:rPr>
          <w:rFonts w:eastAsia="Symbol"/>
          <w:color w:val="000000"/>
          <w:sz w:val="27"/>
          <w:szCs w:val="27"/>
        </w:rPr>
        <w:t>2026 года</w:t>
      </w:r>
    </w:p>
    <w:p>
      <w:pPr>
        <w:pStyle w:val="Normal"/>
        <w:spacing w:before="113" w:after="0"/>
        <w:jc w:val="both"/>
        <w:rPr>
          <w:sz w:val="27"/>
          <w:szCs w:val="27"/>
        </w:rPr>
      </w:pPr>
      <w:r>
        <w:rPr>
          <w:color w:val="000000"/>
          <w:spacing w:val="-4"/>
          <w:sz w:val="27"/>
          <w:szCs w:val="27"/>
        </w:rPr>
        <w:t>Организатор общественных обсуждений:</w:t>
      </w:r>
    </w:p>
    <w:p>
      <w:pPr>
        <w:pStyle w:val="Normal"/>
        <w:spacing w:before="113" w:after="0"/>
        <w:jc w:val="both"/>
        <w:rPr>
          <w:sz w:val="27"/>
          <w:szCs w:val="27"/>
        </w:rPr>
      </w:pPr>
      <w:r>
        <w:rPr>
          <w:color w:val="000000"/>
          <w:spacing w:val="-4"/>
          <w:sz w:val="27"/>
          <w:szCs w:val="27"/>
          <w:u w:val="single"/>
        </w:rPr>
        <w:t xml:space="preserve">Управление по архитектуре и градостроительству администрации муниципального образования «Городской округ город Астрахань» </w:t>
      </w:r>
    </w:p>
    <w:p>
      <w:pPr>
        <w:pStyle w:val="Normal"/>
        <w:spacing w:lineRule="auto" w:line="276" w:before="113" w:after="0"/>
        <w:rPr>
          <w:sz w:val="27"/>
          <w:szCs w:val="27"/>
        </w:rPr>
      </w:pPr>
      <w:r>
        <w:rPr>
          <w:color w:val="000000"/>
          <w:sz w:val="27"/>
          <w:szCs w:val="27"/>
        </w:rPr>
        <w:t>Наименование документации, рассмотренной на общественных обсуждениях:</w:t>
      </w:r>
    </w:p>
    <w:p>
      <w:pPr>
        <w:pStyle w:val="Normal"/>
        <w:tabs>
          <w:tab w:val="clear" w:pos="708"/>
          <w:tab w:val="left" w:pos="9355" w:leader="none"/>
        </w:tabs>
        <w:jc w:val="both"/>
        <w:rPr>
          <w:rFonts w:eastAsia="Arial" w:cs="Times New Roman"/>
          <w:color w:val="000000"/>
          <w:sz w:val="27"/>
          <w:szCs w:val="27"/>
          <w:u w:val="single"/>
          <w:lang w:bidi="ar-SA"/>
        </w:rPr>
      </w:pPr>
      <w:r>
        <w:rPr>
          <w:rFonts w:eastAsia="Arial" w:cs="Times New Roman"/>
          <w:color w:val="000000"/>
          <w:sz w:val="27"/>
          <w:szCs w:val="27"/>
          <w:u w:val="single"/>
          <w:lang w:bidi="ar-SA"/>
        </w:rPr>
        <w:t xml:space="preserve">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в отношении земельного участка площадью 2310 кв. м с кадастровым номером 30:12:010407:6, расположенного по адресу: Российская Федерация, Астраханская область, г Астрахань, р-н Кировский, ул Максима Горького/Лейтенанта Шмидта, с установлением следующих значений параметров для объектов нежилого назначения: </w:t>
      </w:r>
    </w:p>
    <w:p>
      <w:pPr>
        <w:pStyle w:val="Normal"/>
        <w:tabs>
          <w:tab w:val="clear" w:pos="708"/>
          <w:tab w:val="left" w:pos="9355" w:leader="none"/>
        </w:tabs>
        <w:ind w:left="360" w:hanging="0"/>
        <w:jc w:val="both"/>
        <w:rPr>
          <w:rFonts w:eastAsia="Arial" w:cs="Times New Roman"/>
          <w:color w:val="000000"/>
          <w:sz w:val="27"/>
          <w:szCs w:val="27"/>
          <w:u w:val="single"/>
          <w:lang w:bidi="ar-SA"/>
        </w:rPr>
      </w:pPr>
      <w:r>
        <w:rPr>
          <w:rFonts w:eastAsia="Arial" w:cs="Times New Roman"/>
          <w:color w:val="000000"/>
          <w:sz w:val="27"/>
          <w:szCs w:val="27"/>
          <w:u w:val="single"/>
          <w:lang w:bidi="ar-SA"/>
        </w:rPr>
        <w:t>- процент застройки территории — не более 69,8 % от площади земельного участка.</w:t>
      </w:r>
    </w:p>
    <w:p>
      <w:pPr>
        <w:pStyle w:val="Normal"/>
        <w:tabs>
          <w:tab w:val="clear" w:pos="708"/>
          <w:tab w:val="left" w:pos="9355" w:leader="none"/>
        </w:tabs>
        <w:jc w:val="both"/>
        <w:rPr>
          <w:color w:val="000000"/>
          <w:sz w:val="27"/>
          <w:szCs w:val="27"/>
        </w:rPr>
      </w:pPr>
      <w:r>
        <w:rPr>
          <w:color w:val="000000"/>
          <w:sz w:val="27"/>
          <w:szCs w:val="27"/>
        </w:rPr>
      </w:r>
    </w:p>
    <w:p>
      <w:pPr>
        <w:pStyle w:val="Normal"/>
        <w:tabs>
          <w:tab w:val="clear" w:pos="708"/>
          <w:tab w:val="left" w:pos="9355" w:leader="none"/>
        </w:tabs>
        <w:jc w:val="both"/>
        <w:rPr>
          <w:sz w:val="27"/>
          <w:szCs w:val="27"/>
        </w:rPr>
      </w:pPr>
      <w:r>
        <w:rPr>
          <w:color w:val="000000"/>
          <w:sz w:val="27"/>
          <w:szCs w:val="27"/>
        </w:rPr>
        <w:t xml:space="preserve">Сведения о количестве участников общественных обсуждений, которые приняли участие в общественных </w:t>
      </w:r>
      <w:r>
        <w:rPr>
          <w:color w:val="000000"/>
          <w:spacing w:val="-4"/>
          <w:sz w:val="27"/>
          <w:szCs w:val="27"/>
        </w:rPr>
        <w:t>обсуждениях</w:t>
      </w:r>
      <w:r>
        <w:rPr>
          <w:color w:val="000000"/>
          <w:sz w:val="27"/>
          <w:szCs w:val="27"/>
        </w:rPr>
        <w:t xml:space="preserve"> —</w:t>
      </w:r>
      <w:r>
        <w:rPr>
          <w:color w:val="000000"/>
          <w:sz w:val="27"/>
          <w:szCs w:val="27"/>
          <w:u w:val="single"/>
        </w:rPr>
        <w:t xml:space="preserve"> 1 </w:t>
      </w:r>
    </w:p>
    <w:p>
      <w:pPr>
        <w:pStyle w:val="Normal"/>
        <w:spacing w:before="113" w:after="0"/>
        <w:jc w:val="both"/>
        <w:rPr>
          <w:sz w:val="27"/>
          <w:szCs w:val="27"/>
        </w:rPr>
      </w:pPr>
      <w:r>
        <w:rPr>
          <w:color w:val="000000"/>
          <w:sz w:val="27"/>
          <w:szCs w:val="27"/>
        </w:rPr>
        <w:t>Заключение о результатах общественных обсуждений подготовлено на основании протокола общественных обсуждений от «</w:t>
      </w:r>
      <w:r>
        <w:rPr>
          <w:color w:val="000000"/>
          <w:sz w:val="27"/>
          <w:szCs w:val="27"/>
          <w:u w:val="single"/>
        </w:rPr>
        <w:t xml:space="preserve"> 28 </w:t>
      </w:r>
      <w:r>
        <w:rPr>
          <w:color w:val="000000"/>
          <w:sz w:val="27"/>
          <w:szCs w:val="27"/>
        </w:rPr>
        <w:t>«</w:t>
      </w:r>
      <w:r>
        <w:rPr>
          <w:color w:val="000000"/>
          <w:sz w:val="27"/>
          <w:szCs w:val="27"/>
          <w:u w:val="single"/>
        </w:rPr>
        <w:t xml:space="preserve"> августа </w:t>
      </w:r>
      <w:r>
        <w:rPr>
          <w:color w:val="000000"/>
          <w:sz w:val="27"/>
          <w:szCs w:val="27"/>
        </w:rPr>
        <w:t>2026 года</w:t>
      </w:r>
    </w:p>
    <w:p>
      <w:pPr>
        <w:pStyle w:val="Normal"/>
        <w:spacing w:before="113" w:after="0"/>
        <w:jc w:val="both"/>
        <w:rPr>
          <w:sz w:val="27"/>
          <w:szCs w:val="27"/>
        </w:rPr>
      </w:pPr>
      <w:r>
        <w:rPr>
          <w:color w:val="000000"/>
          <w:sz w:val="27"/>
          <w:szCs w:val="27"/>
        </w:rPr>
        <w:t>1. Содержание внесенных предложений и замечаний граждан, являющихся участниками общественных обсуждений и постоянно проживающих на территории, в пределах которой проводятся общественные обсуждения:</w:t>
      </w:r>
    </w:p>
    <w:p>
      <w:pPr>
        <w:pStyle w:val="Normal"/>
        <w:rPr>
          <w:sz w:val="27"/>
          <w:szCs w:val="27"/>
        </w:rPr>
      </w:pPr>
      <w:r>
        <w:rPr>
          <w:color w:val="000000"/>
          <w:sz w:val="27"/>
          <w:szCs w:val="27"/>
        </w:rPr>
        <w:t>1.1.</w:t>
      </w:r>
      <w:r>
        <w:rPr>
          <w:color w:val="000000"/>
          <w:sz w:val="27"/>
          <w:szCs w:val="27"/>
          <w:u w:val="single"/>
        </w:rPr>
        <w:t xml:space="preserve">   Отсутствуют                                                                                                 </w:t>
      </w:r>
    </w:p>
    <w:p>
      <w:pPr>
        <w:pStyle w:val="Normal"/>
        <w:rPr>
          <w:color w:val="000000"/>
          <w:sz w:val="27"/>
          <w:szCs w:val="27"/>
          <w:u w:val="single"/>
        </w:rPr>
      </w:pPr>
      <w:r>
        <w:rPr>
          <w:color w:val="000000"/>
          <w:sz w:val="27"/>
          <w:szCs w:val="27"/>
          <w:u w:val="single"/>
        </w:rPr>
      </w:r>
    </w:p>
    <w:p>
      <w:pPr>
        <w:pStyle w:val="Normal"/>
        <w:jc w:val="both"/>
        <w:rPr>
          <w:color w:val="000000"/>
          <w:spacing w:val="-4"/>
          <w:sz w:val="27"/>
          <w:szCs w:val="27"/>
        </w:rPr>
      </w:pPr>
      <w:r>
        <w:rPr>
          <w:color w:val="000000"/>
          <w:spacing w:val="-4"/>
          <w:sz w:val="27"/>
          <w:szCs w:val="27"/>
        </w:rPr>
        <w:t>2. Содержание внесенных предложений и замечаний иных участников общественных обсуждений:</w:t>
      </w:r>
    </w:p>
    <w:p>
      <w:pPr>
        <w:pStyle w:val="Normal"/>
        <w:jc w:val="both"/>
        <w:rPr>
          <w:sz w:val="27"/>
          <w:szCs w:val="27"/>
        </w:rPr>
      </w:pPr>
      <w:r>
        <w:rPr>
          <w:sz w:val="27"/>
          <w:szCs w:val="27"/>
        </w:rPr>
        <w:t>Участники общественных обсуждений вносят свои предложения и замечания по рассматриваемому проекту ввиду несогласия с выдачей указанного разрешения по следующим причинам:</w:t>
      </w:r>
    </w:p>
    <w:p>
      <w:pPr>
        <w:pStyle w:val="Normal"/>
        <w:jc w:val="both"/>
        <w:rPr>
          <w:sz w:val="27"/>
          <w:szCs w:val="27"/>
        </w:rPr>
      </w:pPr>
      <w:r>
        <w:rPr>
          <w:sz w:val="27"/>
          <w:szCs w:val="27"/>
        </w:rPr>
      </w:r>
    </w:p>
    <w:p>
      <w:pPr>
        <w:pStyle w:val="ListParagraph"/>
        <w:widowControl/>
        <w:numPr>
          <w:ilvl w:val="0"/>
          <w:numId w:val="1"/>
        </w:numPr>
        <w:suppressAutoHyphens w:val="false"/>
        <w:ind w:left="0" w:firstLine="709"/>
        <w:jc w:val="both"/>
        <w:rPr>
          <w:rFonts w:eastAsia="Calibri" w:cs="Times New Roman" w:eastAsiaTheme="minorHAnsi"/>
          <w:kern w:val="0"/>
          <w:sz w:val="26"/>
          <w:szCs w:val="26"/>
          <w:lang w:eastAsia="en-US" w:bidi="ar-SA"/>
        </w:rPr>
      </w:pPr>
      <w:r>
        <w:rPr>
          <w:rFonts w:eastAsia="Calibri" w:cs="Times New Roman" w:eastAsiaTheme="minorHAnsi"/>
          <w:kern w:val="0"/>
          <w:sz w:val="26"/>
          <w:szCs w:val="26"/>
          <w:lang w:eastAsia="en-US" w:bidi="ar-SA"/>
        </w:rPr>
        <w:t>Действующие Правила землепользования и застройки г. Астрахани утверждены решением Городской Думы от 16.07.2020 № 69 и применяются с учетом последующих изменений. Для объектов нежилого назначения в зоне Ц-2 градостроительный регламент предусматривает процент застройки не более</w:t>
        <w:br/>
        <w:t>50 % площади земельного участка, озеленение не менее 25 %, территорию для хранения транспортных средств не менее 10 %. Для объектов нежилого назначения в основной зоне Ц-2 предельная высота составляет 30 м. Для подзоны Ц-2-1 установлены более строгие требования к уличному фронту: до карниза 12 м, до конька 15 м и не выше примыкающих исторических зданий. Поэтому до принятия решения необходимо официально подтвердить, в какой именно части зоны Ц-2 находится спорный участок и какие специальные ограничения к нему применяются.</w:t>
      </w:r>
    </w:p>
    <w:p>
      <w:pPr>
        <w:pStyle w:val="Normal"/>
        <w:widowControl/>
        <w:suppressAutoHyphens w:val="false"/>
        <w:ind w:firstLine="709"/>
        <w:jc w:val="both"/>
        <w:rPr>
          <w:rFonts w:eastAsia="Calibri" w:cs="Times New Roman" w:eastAsiaTheme="minorHAnsi"/>
          <w:kern w:val="0"/>
          <w:sz w:val="26"/>
          <w:szCs w:val="26"/>
          <w:lang w:eastAsia="en-US" w:bidi="ar-SA"/>
        </w:rPr>
      </w:pPr>
      <w:r>
        <w:rPr>
          <w:rFonts w:eastAsia="Calibri" w:cs="Times New Roman" w:eastAsiaTheme="minorHAnsi"/>
          <w:kern w:val="0"/>
          <w:sz w:val="26"/>
          <w:szCs w:val="26"/>
          <w:lang w:eastAsia="en-US" w:bidi="ar-SA"/>
        </w:rPr>
        <w:t xml:space="preserve">Правила землепользования и застройки содержат специальные требования, применяемые при размещении объектов вблизи объектов культурного наследия и в исторической городской среде. </w:t>
      </w:r>
      <w:bookmarkStart w:id="0" w:name="_GoBack"/>
      <w:bookmarkEnd w:id="0"/>
      <w:r>
        <w:rPr>
          <w:rFonts w:eastAsia="Calibri" w:cs="Times New Roman" w:eastAsiaTheme="minorHAnsi"/>
          <w:kern w:val="0"/>
          <w:sz w:val="26"/>
          <w:szCs w:val="26"/>
          <w:lang w:eastAsia="en-US" w:bidi="ar-SA"/>
        </w:rPr>
        <w:t>Прошу показать положение проектируемого объекта относительно ближайших объектов культурного наследия, их территорий и установленных зон охраны.</w:t>
      </w:r>
    </w:p>
    <w:p>
      <w:pPr>
        <w:pStyle w:val="Normal"/>
        <w:widowControl/>
        <w:suppressAutoHyphens w:val="false"/>
        <w:ind w:firstLine="709"/>
        <w:jc w:val="both"/>
        <w:rPr>
          <w:rFonts w:eastAsia="Calibri" w:cs="Times New Roman" w:eastAsiaTheme="minorHAnsi"/>
          <w:kern w:val="0"/>
          <w:sz w:val="26"/>
          <w:szCs w:val="26"/>
          <w:lang w:eastAsia="en-US" w:bidi="ar-SA"/>
        </w:rPr>
      </w:pPr>
      <w:r>
        <w:rPr>
          <w:rFonts w:eastAsia="Calibri" w:cs="Times New Roman" w:eastAsiaTheme="minorHAnsi"/>
          <w:kern w:val="0"/>
          <w:sz w:val="26"/>
          <w:szCs w:val="26"/>
          <w:lang w:eastAsia="en-US" w:bidi="ar-SA"/>
        </w:rPr>
        <w:t>Статья 40 Градостроительного кодекса РФ в редакции, действующей на дату настоящих обсуждений, допускает отклонение от предельных параметров, однако не делает его обычным способом увеличить полезную площадь проекта. По части 1 статьи 40 такое право связано с объективно неблагоприятными для застройки характеристиками участка: его недостаточным размером, конфигурацией, инженерно-геологическими или иными характеристиками. Часть 1.1 статьи 40 допускает однократное изменение параметра не более чем на 10 %, однако увеличение процента застройки с 50 % до 69,8 % значительно выходит за этот предел. Следовательно, для рассматриваемого проекта должно быть раскрыто и доказано конкретное основание именно по части 1 статьи 40 ГрК РФ.</w:t>
      </w:r>
    </w:p>
    <w:p>
      <w:pPr>
        <w:pStyle w:val="Normal"/>
        <w:widowControl/>
        <w:suppressAutoHyphens w:val="false"/>
        <w:spacing w:before="0" w:after="200"/>
        <w:ind w:firstLine="709"/>
        <w:jc w:val="both"/>
        <w:rPr>
          <w:rFonts w:eastAsia="Calibri" w:cs="Times New Roman" w:eastAsiaTheme="minorHAnsi"/>
          <w:kern w:val="0"/>
          <w:sz w:val="26"/>
          <w:szCs w:val="26"/>
          <w:lang w:eastAsia="en-US" w:bidi="ar-SA"/>
        </w:rPr>
      </w:pPr>
      <w:r>
        <w:rPr>
          <w:rFonts w:eastAsia="Calibri" w:cs="Times New Roman" w:eastAsiaTheme="minorHAnsi"/>
          <w:kern w:val="0"/>
          <w:sz w:val="26"/>
          <w:szCs w:val="26"/>
          <w:lang w:eastAsia="en-US" w:bidi="ar-SA"/>
        </w:rPr>
        <w:t>На участке 2310 кв. м нормативное пятно застройки при 50 % составляет 1155 кв. м. При 69,8 % оно составит 1612,38 кв. м, то есть увеличится на 457,38 кв. м. Это почти на 40 % больше обычного предельного пятна застройки. Поэтому такое отклонение нельзя рассматривать как незначительную техническую корректировку.</w:t>
      </w:r>
    </w:p>
    <w:p>
      <w:pPr>
        <w:pStyle w:val="ListParagraph"/>
        <w:widowControl/>
        <w:numPr>
          <w:ilvl w:val="0"/>
          <w:numId w:val="1"/>
        </w:numPr>
        <w:tabs>
          <w:tab w:val="clear" w:pos="708"/>
          <w:tab w:val="left" w:pos="720" w:leader="none"/>
        </w:tabs>
        <w:suppressAutoHyphens w:val="false"/>
        <w:ind w:left="0" w:firstLine="709"/>
        <w:jc w:val="both"/>
        <w:rPr>
          <w:rFonts w:cs="Times New Roman"/>
          <w:sz w:val="27"/>
          <w:szCs w:val="27"/>
        </w:rPr>
      </w:pPr>
      <w:r>
        <w:rPr>
          <w:rFonts w:cs="Times New Roman"/>
          <w:sz w:val="27"/>
          <w:szCs w:val="27"/>
        </w:rPr>
        <w:t>Прошу указать, какая именно характеристика земельного участка соответствует критериям части 1 статьи 40 ГрК РФ и почему соблюдение обычного показателя 50 % объективно невозможно либо чрезмерно затруднено именно из-за характеристик участка. Сложная вытянутая форма участка сама по себе еще не доказывает необходимость застройки 69,8 %. Необходимо отделить объективную неблагоприятность участка от желания разместить на нем заранее выбранный по площади и объему объект.</w:t>
      </w:r>
    </w:p>
    <w:p>
      <w:pPr>
        <w:pStyle w:val="ListParagraph"/>
        <w:widowControl/>
        <w:numPr>
          <w:ilvl w:val="0"/>
          <w:numId w:val="1"/>
        </w:numPr>
        <w:tabs>
          <w:tab w:val="clear" w:pos="708"/>
          <w:tab w:val="left" w:pos="720" w:leader="none"/>
        </w:tabs>
        <w:suppressAutoHyphens w:val="false"/>
        <w:ind w:left="0" w:firstLine="709"/>
        <w:jc w:val="both"/>
        <w:rPr>
          <w:rFonts w:cs="Times New Roman"/>
          <w:sz w:val="27"/>
          <w:szCs w:val="27"/>
        </w:rPr>
      </w:pPr>
      <w:r>
        <w:rPr>
          <w:rFonts w:cs="Times New Roman"/>
          <w:sz w:val="27"/>
          <w:szCs w:val="27"/>
        </w:rPr>
        <w:t>Официальный сайт администрации подтверждает, что в январе-феврале 2026 года по тому же участку 30:12:010407:6 площадью 2310 кв. м на общественные обсуждения выносился процент застройки 66,29 %. В августе 2026 года испрашивается уже 69,8 %. Прошу сообщить результат предыдущих общественных обсуждений и принятое по ним решение, а также объяснить, какие новые объективные обстоятельства возникли и почему теперь требуется дополнительное увеличение параметра. Повышение одного и того же параметра должно иметь самостоятельное мотивированное обоснование.</w:t>
      </w:r>
    </w:p>
    <w:p>
      <w:pPr>
        <w:pStyle w:val="ListParagraph"/>
        <w:widowControl/>
        <w:numPr>
          <w:ilvl w:val="0"/>
          <w:numId w:val="1"/>
        </w:numPr>
        <w:tabs>
          <w:tab w:val="clear" w:pos="708"/>
          <w:tab w:val="left" w:pos="720" w:leader="none"/>
        </w:tabs>
        <w:suppressAutoHyphens w:val="false"/>
        <w:ind w:left="0" w:firstLine="709"/>
        <w:jc w:val="both"/>
        <w:rPr>
          <w:rFonts w:cs="Times New Roman"/>
          <w:sz w:val="27"/>
          <w:szCs w:val="27"/>
        </w:rPr>
      </w:pPr>
      <w:r>
        <w:rPr>
          <w:rFonts w:cs="Times New Roman"/>
          <w:sz w:val="27"/>
          <w:szCs w:val="27"/>
        </w:rPr>
        <w:t>Конструктивное решение с объемами на опорах требует перепроверки расчета площади застройки. В опубликованном описании проектного обоснования указано, что часть комплекса предполагается поднять на высоких колоннах, а за счет пространства под этими объемами предполагается высвободить часть территории. Между тем пункт А.8 СП 118.13330.2022 устанавливает, что площадь под общественным зданием, расположенным на столбах, и проезды под таким зданием включаются в площадь застройки; не включаются в нее проекции консольно выступающих частей выше 4,5 м при соблюдении условий указанного пункта. Прошу представить поэтажные планы и разрезы с отметками, показать, какие части являются зданием на столбах, какие - консольными частями, и привести проверяемый расчет площади застройки.</w:t>
      </w:r>
    </w:p>
    <w:p>
      <w:pPr>
        <w:pStyle w:val="ListParagraph"/>
        <w:widowControl/>
        <w:numPr>
          <w:ilvl w:val="0"/>
          <w:numId w:val="1"/>
        </w:numPr>
        <w:tabs>
          <w:tab w:val="clear" w:pos="708"/>
          <w:tab w:val="left" w:pos="720" w:leader="none"/>
        </w:tabs>
        <w:suppressAutoHyphens w:val="false"/>
        <w:ind w:left="0" w:firstLine="709"/>
        <w:jc w:val="both"/>
        <w:rPr>
          <w:rFonts w:cs="Times New Roman"/>
          <w:sz w:val="27"/>
          <w:szCs w:val="27"/>
        </w:rPr>
      </w:pPr>
      <w:r>
        <w:rPr>
          <w:rFonts w:cs="Times New Roman"/>
          <w:sz w:val="27"/>
          <w:szCs w:val="27"/>
        </w:rPr>
        <w:t>При действующих показателях для нежилых объектов зоны Ц-2 озеленение должно составлять не менее 25 % участка, то есть не менее 577,5 кв. м, а территория для хранения транспортных средств - не менее 10 %, то есть не менее 231 кв. м. Одновременно испрашивается пятно застройки 1612,38 кв. м. Простое сложение этих трех показателей превышает площадь участка, что требует полной и прозрачной экспликации баланса территории. Прошу отдельно показать наземное озеленение, эксплуатируемую кровлю, автостоянки, пожарные проезды, пешеходные пути, технические площадки и иные элементы, а также нормативное основание для каждого случая.</w:t>
      </w:r>
    </w:p>
    <w:p>
      <w:pPr>
        <w:pStyle w:val="ListParagraph"/>
        <w:widowControl/>
        <w:numPr>
          <w:ilvl w:val="0"/>
          <w:numId w:val="1"/>
        </w:numPr>
        <w:tabs>
          <w:tab w:val="clear" w:pos="708"/>
          <w:tab w:val="left" w:pos="720" w:leader="none"/>
        </w:tabs>
        <w:suppressAutoHyphens w:val="false"/>
        <w:ind w:left="0" w:firstLine="709"/>
        <w:jc w:val="both"/>
        <w:rPr>
          <w:rFonts w:cs="Times New Roman"/>
          <w:sz w:val="27"/>
          <w:szCs w:val="27"/>
        </w:rPr>
      </w:pPr>
      <w:r>
        <w:rPr>
          <w:rFonts w:cs="Times New Roman"/>
          <w:sz w:val="27"/>
          <w:szCs w:val="27"/>
        </w:rPr>
        <w:t>В опубликованном описании проекта упоминается использование эксплуатируемой кровли для компенсации дефицита территории. Прошу привести конкретную норму действующих ПЗЗ, местных нормативов градостроительного проектирования либо иного применимого документа, позволяющую включить озеленение кровли в расчет обязательного процента озеленения территории земельного участка, и отдельно указать фактическую площадь озеленения непосредственно на поверхности земли.</w:t>
      </w:r>
    </w:p>
    <w:p>
      <w:pPr>
        <w:pStyle w:val="ListParagraph"/>
        <w:widowControl/>
        <w:numPr>
          <w:ilvl w:val="0"/>
          <w:numId w:val="1"/>
        </w:numPr>
        <w:tabs>
          <w:tab w:val="clear" w:pos="708"/>
          <w:tab w:val="left" w:pos="720" w:leader="none"/>
        </w:tabs>
        <w:suppressAutoHyphens w:val="false"/>
        <w:ind w:left="0" w:firstLine="709"/>
        <w:jc w:val="both"/>
        <w:rPr>
          <w:rFonts w:cs="Times New Roman"/>
          <w:sz w:val="27"/>
          <w:szCs w:val="27"/>
        </w:rPr>
      </w:pPr>
      <w:r>
        <w:rPr>
          <w:rFonts w:cs="Times New Roman"/>
          <w:sz w:val="27"/>
          <w:szCs w:val="27"/>
        </w:rPr>
        <w:t>Пожарная безопасность соседней застройки, включая детское учреждение, требует расчетной проверки.</w:t>
      </w:r>
      <w:r>
        <w:rPr>
          <w:rFonts w:cs="Times New Roman"/>
          <w:b/>
          <w:sz w:val="27"/>
          <w:szCs w:val="27"/>
        </w:rPr>
        <w:t xml:space="preserve"> </w:t>
      </w:r>
      <w:r>
        <w:rPr>
          <w:rFonts w:cs="Times New Roman"/>
          <w:sz w:val="27"/>
          <w:szCs w:val="27"/>
        </w:rPr>
        <w:t>В непосредственном окружении участка находится здание детского учреждения. Поэтому прошу определить фактическую степень огнестойкости и класс конструктивной пожарной опасности существующего детского здания и проектируемого комплекса и показать требуемый именно для этой пары противопожарный разрыв. Если соседнее здание является дошкольной организацией класса Ф1.1, должны быть отдельно проверены условия доступа пожарной техники и недопущение ухудшения существующих путей пожарного доступа.</w:t>
      </w:r>
    </w:p>
    <w:p>
      <w:pPr>
        <w:pStyle w:val="ListParagraph"/>
        <w:widowControl/>
        <w:numPr>
          <w:ilvl w:val="0"/>
          <w:numId w:val="1"/>
        </w:numPr>
        <w:tabs>
          <w:tab w:val="clear" w:pos="708"/>
          <w:tab w:val="left" w:pos="720" w:leader="none"/>
        </w:tabs>
        <w:suppressAutoHyphens w:val="false"/>
        <w:ind w:left="0" w:firstLine="709"/>
        <w:jc w:val="both"/>
        <w:rPr>
          <w:rFonts w:cs="Times New Roman"/>
          <w:sz w:val="27"/>
          <w:szCs w:val="27"/>
        </w:rPr>
      </w:pPr>
      <w:r>
        <w:rPr>
          <w:rFonts w:cs="Times New Roman"/>
          <w:sz w:val="27"/>
          <w:szCs w:val="27"/>
        </w:rPr>
        <w:t>СП 4.13130.2013 действительно предусматривает ширину пожарного проезда не менее 4,2 м для зданий высотой от 13 до 46 м. При этом тот же свод правил устанавливает и иные требования: к количеству сторон подъезда в зависимости от класса и высоты здания, расстоянию от внутреннего края подъезда до наружных стен (для зданий высотой до 28 м - 5-8 м), отсутствию препятствий для работы пожарной техники и несущей способности покрытия. Прошу представить схему работы пожарной техники с радиусами маневрирования, расстояниями, вертикальными габаритами под выступающими объемами и подтверждением того, что колонны, парковка, озеленение и иные элементы не препятствуют тушению пожара.</w:t>
      </w:r>
    </w:p>
    <w:p>
      <w:pPr>
        <w:pStyle w:val="ListParagraph"/>
        <w:widowControl/>
        <w:numPr>
          <w:ilvl w:val="0"/>
          <w:numId w:val="1"/>
        </w:numPr>
        <w:tabs>
          <w:tab w:val="clear" w:pos="708"/>
          <w:tab w:val="left" w:pos="720" w:leader="none"/>
        </w:tabs>
        <w:suppressAutoHyphens w:val="false"/>
        <w:ind w:left="0" w:firstLine="709"/>
        <w:jc w:val="both"/>
        <w:rPr>
          <w:rFonts w:cs="Times New Roman"/>
          <w:sz w:val="27"/>
          <w:szCs w:val="27"/>
        </w:rPr>
      </w:pPr>
      <w:r>
        <w:rPr>
          <w:rFonts w:cs="Times New Roman"/>
          <w:sz w:val="27"/>
          <w:szCs w:val="27"/>
        </w:rPr>
        <w:t>С 1 июня 2026 года действует СП 551.1311500.2026 «Системы противопожарной защиты. Стоянки автомобилей. Требования пожарной безопасности», предназначенный для применения при проектировании и строительстве стоянок. Если проект предусматривает стоянку под поднятыми объемами либо непосредственно у фасадов, прошу показать ее тип, количество машино-мест, схему въезда-выезда и соблюдение применимых требований пожарной безопасности.</w:t>
      </w:r>
    </w:p>
    <w:p>
      <w:pPr>
        <w:pStyle w:val="Normal"/>
        <w:tabs>
          <w:tab w:val="clear" w:pos="708"/>
          <w:tab w:val="left" w:pos="720" w:leader="none"/>
        </w:tabs>
        <w:ind w:firstLine="709"/>
        <w:jc w:val="both"/>
        <w:rPr>
          <w:rFonts w:cs="Times New Roman"/>
          <w:sz w:val="27"/>
          <w:szCs w:val="27"/>
        </w:rPr>
      </w:pPr>
      <w:r>
        <w:rPr>
          <w:rFonts w:cs="Times New Roman"/>
          <w:sz w:val="27"/>
          <w:szCs w:val="27"/>
        </w:rPr>
      </w:r>
    </w:p>
    <w:p>
      <w:pPr>
        <w:pStyle w:val="ListParagraph"/>
        <w:widowControl/>
        <w:numPr>
          <w:ilvl w:val="0"/>
          <w:numId w:val="1"/>
        </w:numPr>
        <w:tabs>
          <w:tab w:val="clear" w:pos="708"/>
          <w:tab w:val="left" w:pos="720" w:leader="none"/>
        </w:tabs>
        <w:suppressAutoHyphens w:val="false"/>
        <w:ind w:left="0" w:firstLine="709"/>
        <w:jc w:val="both"/>
        <w:rPr>
          <w:rFonts w:cs="Times New Roman"/>
          <w:sz w:val="27"/>
          <w:szCs w:val="27"/>
        </w:rPr>
      </w:pPr>
      <w:r>
        <w:rPr>
          <w:rFonts w:cs="Times New Roman"/>
          <w:sz w:val="27"/>
          <w:szCs w:val="27"/>
        </w:rPr>
        <w:t>По опубликованным сведениям максимальная высота разновысотного комплекса составляет около 24 м. Соблюдение формального общего предела высоты не отменяет требований к композиции и силуэту исторического поселения, а при попадании участка в подзону Ц-2-1 действуют существенно более строгие параметры уличного фронта. Прошу представить актуальную карту территориальной зоны и подзоны применительно к кадастровым границам участка и дать отдельное обоснование высоты и объемно-пространственного решения.</w:t>
      </w:r>
    </w:p>
    <w:p>
      <w:pPr>
        <w:pStyle w:val="ListParagraph"/>
        <w:widowControl/>
        <w:numPr>
          <w:ilvl w:val="0"/>
          <w:numId w:val="1"/>
        </w:numPr>
        <w:tabs>
          <w:tab w:val="clear" w:pos="708"/>
          <w:tab w:val="left" w:pos="720" w:leader="none"/>
        </w:tabs>
        <w:suppressAutoHyphens w:val="false"/>
        <w:ind w:left="0" w:firstLine="709"/>
        <w:jc w:val="both"/>
        <w:rPr>
          <w:rFonts w:cs="Times New Roman"/>
          <w:sz w:val="27"/>
          <w:szCs w:val="27"/>
        </w:rPr>
      </w:pPr>
      <w:r>
        <w:rPr>
          <w:rFonts w:cs="Times New Roman"/>
          <w:sz w:val="27"/>
          <w:szCs w:val="27"/>
        </w:rPr>
        <w:t>Астрахань включена действующим приказом Минкультуры России от 04.04.2023 № 839 в перечень исторических поселений, имеющих особое значение для истории и культуры Российской Федерации. Ранее применявшийся приказ 2010 года № 418/339 утратил силу, поэтому в настоящих замечаниях я на него не ссылаюсь. Статья 59 Федеральным законом от 25.06.2002 №73-ФЗ «Об объектах культурного наследия (памятниках истории и культуры) народов Российской Федерации» относит к предмету охраны исторического поселения, в зависимости от утвержденного предмета охраны, исторически ценные градоформирующие объекты, планировочную и объемно-пространственную структуру, композицию и силуэт, соотношение свободных, застроенных и озелененных пространств, композиционно-видовые связи и панорамы. Статья 60 требует осуществлять градостроительную деятельность при условии обеспечения сохранности объектов культурного наследия и предмета охраны исторического поселения. По имеющимся материалам участок 30:12:010407:6 не граничит непосредственно с конкретным объектом культурного наследия. Однако это не исключает самостоятельной обязанности оценивать новый крупный объем как элемент исторического поселения и проверять его влияние на сложившийся масштаб, силуэт, панорамы и видовые связи района.</w:t>
      </w:r>
    </w:p>
    <w:p>
      <w:pPr>
        <w:pStyle w:val="ListParagraph"/>
        <w:widowControl/>
        <w:numPr>
          <w:ilvl w:val="0"/>
          <w:numId w:val="1"/>
        </w:numPr>
        <w:tabs>
          <w:tab w:val="clear" w:pos="708"/>
          <w:tab w:val="left" w:pos="720" w:leader="none"/>
        </w:tabs>
        <w:suppressAutoHyphens w:val="false"/>
        <w:ind w:left="0" w:firstLine="709"/>
        <w:jc w:val="both"/>
        <w:rPr>
          <w:rFonts w:cs="Times New Roman"/>
          <w:sz w:val="27"/>
          <w:szCs w:val="27"/>
        </w:rPr>
      </w:pPr>
      <w:r>
        <w:rPr>
          <w:rFonts w:cs="Times New Roman"/>
          <w:sz w:val="27"/>
          <w:szCs w:val="27"/>
        </w:rPr>
        <w:t>Существует риск изменения видовых раскрытий в направлении Астраханского Кремля, площади Ленина, здания Астраханского планетария, дома Чемодановой-Догадиной и соседней исторически сложившейся застройки, в том числе здания гостиницы «Лотус». Прошу поэтому представить ландшафтно-визуальный анализ с характерных точек: со стороны площади Ленина и Лебединого озера, по улице Лейтенанта Шмидта, со стороны улицы Максима Горького, а также в направлениях на ближайшие объекты культурного наследия и исторические доминанты.</w:t>
      </w:r>
    </w:p>
    <w:p>
      <w:pPr>
        <w:pStyle w:val="ListParagraph"/>
        <w:widowControl/>
        <w:numPr>
          <w:ilvl w:val="0"/>
          <w:numId w:val="1"/>
        </w:numPr>
        <w:tabs>
          <w:tab w:val="clear" w:pos="708"/>
          <w:tab w:val="left" w:pos="720" w:leader="none"/>
        </w:tabs>
        <w:suppressAutoHyphens w:val="false"/>
        <w:ind w:left="0" w:firstLine="709"/>
        <w:jc w:val="both"/>
        <w:rPr>
          <w:rFonts w:cs="Times New Roman"/>
          <w:sz w:val="27"/>
          <w:szCs w:val="27"/>
        </w:rPr>
      </w:pPr>
      <w:r>
        <w:rPr>
          <w:rFonts w:cs="Times New Roman"/>
          <w:b/>
          <w:sz w:val="27"/>
          <w:szCs w:val="27"/>
        </w:rPr>
        <w:t>Д</w:t>
      </w:r>
      <w:r>
        <w:rPr>
          <w:rFonts w:cs="Times New Roman"/>
          <w:sz w:val="27"/>
          <w:szCs w:val="27"/>
        </w:rPr>
        <w:t>ля этой части города имеет значение сохранение рядовой исторической застройки и сложившегося масштаба улиц. Улица Лейтенанта Шмидта продолжает важное градостроительное направление от улицы Ленина, а улицы Анатолия Сергеева и Максима Горького участвуют в формировании исторически сложившегося каркаса района. Федеральный закон от 25.06.2002 №73-ФЗ «Об объектах культурного наследия (памятниках истории и культуры) народов Российской Федерации» допускает включение в предмет охраны исторически ценных градоформирующих объектов, формирующих историческую застройку. Поэтому развитие этой территории должно оцениваться через сохранение масштаба, панорам и сложившейся среды.</w:t>
      </w:r>
    </w:p>
    <w:p>
      <w:pPr>
        <w:pStyle w:val="ListParagraph"/>
        <w:widowControl/>
        <w:numPr>
          <w:ilvl w:val="0"/>
          <w:numId w:val="1"/>
        </w:numPr>
        <w:tabs>
          <w:tab w:val="clear" w:pos="708"/>
          <w:tab w:val="left" w:pos="720" w:leader="none"/>
        </w:tabs>
        <w:suppressAutoHyphens w:val="false"/>
        <w:ind w:left="0" w:firstLine="709"/>
        <w:jc w:val="both"/>
        <w:rPr>
          <w:rFonts w:cs="Times New Roman"/>
          <w:sz w:val="27"/>
          <w:szCs w:val="27"/>
        </w:rPr>
      </w:pPr>
      <w:r>
        <w:rPr>
          <w:rFonts w:cs="Times New Roman"/>
          <w:b/>
          <w:sz w:val="27"/>
          <w:szCs w:val="27"/>
        </w:rPr>
        <w:t xml:space="preserve"> </w:t>
      </w:r>
      <w:r>
        <w:rPr>
          <w:rFonts w:cs="Times New Roman"/>
          <w:sz w:val="27"/>
          <w:szCs w:val="27"/>
        </w:rPr>
        <w:t>Жителями неоднократно отмечаются высокий уровень грунтовых вод и сложные грунтовые условия в районе, который исторически связан со старым руслом Волги. Эти обстоятельства требуют профессиональной проверки, особенно если проект предусматривает заглубленные конструкции, котлован, свайные или иные глубокие фундаменты. СП 22.13330.2016 требует учитывать воздействие нового строительства на окружающую застройку, гидрогеологические условия и возможность их изменения; пункты 9.35-9.36 предусматривают определение зоны влияния нового строительства с учетом глубины котлована, способа крепления и конструкции его ограждения. Прошу представить сведения об инженерно-геологических и гидрогеологических изысканиях, глубине подземной части, типе фундамента, предполагаемом котловане и предварительной зоне влияния на соседние здания.</w:t>
      </w:r>
    </w:p>
    <w:p>
      <w:pPr>
        <w:pStyle w:val="ListParagraph"/>
        <w:widowControl/>
        <w:numPr>
          <w:ilvl w:val="0"/>
          <w:numId w:val="1"/>
        </w:numPr>
        <w:tabs>
          <w:tab w:val="clear" w:pos="708"/>
          <w:tab w:val="left" w:pos="720" w:leader="none"/>
        </w:tabs>
        <w:suppressAutoHyphens w:val="false"/>
        <w:ind w:left="0" w:firstLine="709"/>
        <w:jc w:val="both"/>
        <w:rPr>
          <w:rFonts w:cs="Times New Roman"/>
          <w:sz w:val="27"/>
          <w:szCs w:val="27"/>
        </w:rPr>
      </w:pPr>
      <w:r>
        <w:rPr>
          <w:rFonts w:cs="Times New Roman"/>
          <w:sz w:val="27"/>
          <w:szCs w:val="27"/>
        </w:rPr>
        <w:t>Увеличение пятна застройки с 50 % до 69,8 % позволяет существенно увеличить интенсивность использования ограниченной территории. Район уже обслуживается улицами Максима Горького, Лейтенанта Шмидта, Анатолия Сергеева и прилегающей улично-дорожной сетью. Ссылки на существующие парковки у других объектов не могут заменять нормативную территорию для хранения автомобилей на спорном участке без доказанного права и расчетной возможности их использования. Прошу указать площадь парковки на самом участке, количество машино-мест, расчет потребности, схему въездов и выездов, влияние на пожарные проезды и пешеходные маршруты, а также обосновать, что увеличение процента застройки не создаст недопустимой дополнительной нагрузки на прилегающие улицы.</w:t>
      </w:r>
    </w:p>
    <w:p>
      <w:pPr>
        <w:pStyle w:val="ListParagraph"/>
        <w:widowControl/>
        <w:numPr>
          <w:ilvl w:val="0"/>
          <w:numId w:val="1"/>
        </w:numPr>
        <w:tabs>
          <w:tab w:val="clear" w:pos="708"/>
          <w:tab w:val="left" w:pos="720" w:leader="none"/>
        </w:tabs>
        <w:suppressAutoHyphens w:val="false"/>
        <w:ind w:left="0" w:firstLine="709"/>
        <w:jc w:val="both"/>
        <w:rPr>
          <w:rFonts w:cs="Times New Roman"/>
          <w:sz w:val="27"/>
          <w:szCs w:val="27"/>
        </w:rPr>
      </w:pPr>
      <w:r>
        <w:rPr>
          <w:rFonts w:cs="Times New Roman"/>
          <w:sz w:val="27"/>
          <w:szCs w:val="27"/>
        </w:rPr>
        <w:t>Общественные обсуждения должны дать мотивированный ответ на каждое существенное замечание.</w:t>
      </w:r>
      <w:r>
        <w:rPr>
          <w:rFonts w:cs="Times New Roman"/>
          <w:b/>
          <w:sz w:val="27"/>
          <w:szCs w:val="27"/>
        </w:rPr>
        <w:t xml:space="preserve"> </w:t>
      </w:r>
      <w:r>
        <w:rPr>
          <w:rFonts w:cs="Times New Roman"/>
          <w:sz w:val="27"/>
          <w:szCs w:val="27"/>
        </w:rPr>
        <w:t>Части 11, 18 и 22 статьи 5.1 ГрК РФ предусматривают регистрацию и обязательное рассмотрение предложений и замечаний участников, их отражение в протоколе и аргументированные рекомендации о целесообразности либо нецелесообразности учета. Поэтому прошу не ограничиваться общей фразой «проект соответствует требованиям», а дать по каждому изложенному вопросу конкретный ответ со ссылкой на расчет, норму и графический материал.</w:t>
      </w:r>
      <w:r>
        <w:rPr>
          <w:rFonts w:cs="Times New Roman"/>
          <w:b/>
          <w:sz w:val="27"/>
          <w:szCs w:val="27"/>
        </w:rPr>
        <w:t xml:space="preserve"> </w:t>
      </w:r>
      <w:r>
        <w:rPr>
          <w:rFonts w:cs="Times New Roman"/>
          <w:sz w:val="27"/>
          <w:szCs w:val="27"/>
        </w:rPr>
        <w:t>Считаю, что необходимо отказать в предоставлении разрешения на увеличение процента застройки до 69,8 %. При таком росте пятна застройки возникает необходимость особенно тщательно доказать возможность одновременно обеспечить озеленение, парковку, пожарный доступ, безопасные расстояния до соседних зданий, геотехническую безопасность и соответствие исторической городской среде. В отношении объектов культурного наследия прошу показать реальные применимые ограничения, положение ближайших ОКН и, прежде всего, влияние нового объема на историческое поселение, панорамы и сложившийся масштаб района.</w:t>
      </w:r>
    </w:p>
    <w:p>
      <w:pPr>
        <w:pStyle w:val="Normal"/>
        <w:tabs>
          <w:tab w:val="clear" w:pos="708"/>
          <w:tab w:val="left" w:pos="720" w:leader="none"/>
        </w:tabs>
        <w:ind w:firstLine="709"/>
        <w:jc w:val="both"/>
        <w:rPr>
          <w:rFonts w:cs="Times New Roman"/>
          <w:sz w:val="27"/>
          <w:szCs w:val="27"/>
        </w:rPr>
      </w:pPr>
      <w:r>
        <w:rPr>
          <w:rFonts w:cs="Times New Roman"/>
          <w:sz w:val="27"/>
          <w:szCs w:val="27"/>
        </w:rPr>
        <w:t>Я также прошу учесть, что для данной территории важна не только сохранность отдельных памятников как самостоятельных зданий. Нуждается в защите сама исторически сложившаяся среда, включая рядовую застройку, уличные перспективы и визуальные связи. Крупный современный объем не должен становиться новой доминантой.</w:t>
      </w:r>
    </w:p>
    <w:p>
      <w:pPr>
        <w:pStyle w:val="Western"/>
        <w:spacing w:before="280" w:after="0"/>
        <w:jc w:val="both"/>
        <w:rPr>
          <w:rFonts w:eastAsia="Lucida Sans Unicode"/>
          <w:color w:val="auto"/>
          <w:kern w:val="2"/>
          <w:sz w:val="27"/>
          <w:szCs w:val="27"/>
          <w:lang w:eastAsia="zh-CN" w:bidi="hi-IN"/>
        </w:rPr>
      </w:pPr>
      <w:r>
        <w:rPr>
          <w:rFonts w:eastAsia="Lucida Sans Unicode"/>
          <w:color w:val="auto"/>
          <w:kern w:val="2"/>
          <w:sz w:val="27"/>
          <w:szCs w:val="27"/>
          <w:lang w:eastAsia="zh-CN" w:bidi="hi-IN"/>
        </w:rPr>
        <w:t>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w:t>
      </w:r>
    </w:p>
    <w:p>
      <w:pPr>
        <w:pStyle w:val="Normal"/>
        <w:widowControl w:val="false"/>
        <w:tabs>
          <w:tab w:val="clear" w:pos="708"/>
          <w:tab w:val="left" w:pos="9355" w:leader="none"/>
        </w:tabs>
        <w:suppressAutoHyphens w:val="true"/>
        <w:bidi w:val="0"/>
        <w:spacing w:lineRule="auto" w:line="240" w:before="0" w:after="0"/>
        <w:ind w:left="0" w:right="0" w:firstLine="737"/>
        <w:jc w:val="both"/>
        <w:rPr>
          <w:color w:val="000000"/>
          <w:sz w:val="27"/>
          <w:szCs w:val="27"/>
        </w:rPr>
      </w:pPr>
      <w:r>
        <w:rPr>
          <w:b/>
          <w:bCs/>
          <w:color w:val="000000"/>
          <w:sz w:val="27"/>
          <w:szCs w:val="27"/>
        </w:rPr>
        <w:t>По пункту 1 и частично по пункту 16:</w:t>
      </w:r>
    </w:p>
    <w:p>
      <w:pPr>
        <w:pStyle w:val="Normal"/>
        <w:tabs>
          <w:tab w:val="clear" w:pos="708"/>
          <w:tab w:val="left" w:pos="720" w:leader="none"/>
        </w:tabs>
        <w:ind w:firstLine="709"/>
        <w:jc w:val="both"/>
        <w:rPr>
          <w:rFonts w:cs="Times New Roman"/>
          <w:sz w:val="27"/>
          <w:szCs w:val="27"/>
        </w:rPr>
      </w:pPr>
      <w:r>
        <w:rPr>
          <w:rFonts w:cs="Times New Roman"/>
          <w:sz w:val="27"/>
          <w:szCs w:val="27"/>
        </w:rPr>
        <w:t xml:space="preserve">Согласно Правилам землепользования и застройки МО «Городской округ город Астрахань», утвержденным решением Городской Думы МО «Город Астрахань» от 16.07.2020 № 69, с изменениями, внесенными решениями Городской Думы МО «Город Астрахань» от 21.04.2022 № 25, от 22.09.2022 № 111, постановлениями министерства имущественных и градостроительных отношений Астраханской области от 19.12.2023 № 78, от 18.12.2025 № 107, земельный участок с кадастровым номером 30:12:010407:6 располагается в территориальной зоне Ц-2 (зоне развития культурно-административных функций), внесенной в Единый государственный реестр недвижимости с реестровым номером 30:12-7.244, и  не попадает в подзону Ц-2-1. </w:t>
      </w:r>
    </w:p>
    <w:p>
      <w:pPr>
        <w:pStyle w:val="Normal"/>
        <w:tabs>
          <w:tab w:val="clear" w:pos="708"/>
          <w:tab w:val="left" w:pos="720" w:leader="none"/>
        </w:tabs>
        <w:ind w:firstLine="709"/>
        <w:jc w:val="both"/>
        <w:rPr>
          <w:rFonts w:cs="Times New Roman"/>
          <w:sz w:val="27"/>
          <w:szCs w:val="27"/>
        </w:rPr>
      </w:pPr>
      <w:r>
        <w:rPr>
          <w:rFonts w:cs="Times New Roman"/>
          <w:sz w:val="27"/>
          <w:szCs w:val="27"/>
        </w:rPr>
        <w:t>Ближайшие к вышеуказанному земельному участку объекты культурного наследия регионального значения «Дом жилой Чемодановой-Догадиной А.И., нач. XX в.» и «Павильон, 1950-е гг.» располагаются на расстоянии 53 м и 75 м соответственно. В отношении указанных объектов культурного наследия установлены и постановлены на государственный кадастровый учет зоны охраны объектов культурного наследия с реестровыми номерами 30:12-6.6019 и</w:t>
        <w:br/>
        <w:t xml:space="preserve">30:12-6.5934, которые не накладываются на земельный участок с кадастровым номером 30:12:010407:6. </w:t>
      </w:r>
    </w:p>
    <w:p>
      <w:pPr>
        <w:pStyle w:val="Normal"/>
        <w:tabs>
          <w:tab w:val="clear" w:pos="708"/>
          <w:tab w:val="left" w:pos="720" w:leader="none"/>
        </w:tabs>
        <w:ind w:firstLine="709"/>
        <w:jc w:val="both"/>
        <w:rPr>
          <w:rFonts w:cs="Times New Roman"/>
          <w:sz w:val="27"/>
          <w:szCs w:val="27"/>
        </w:rPr>
      </w:pPr>
      <w:r>
        <w:rPr>
          <w:rFonts w:cs="Times New Roman"/>
          <w:sz w:val="27"/>
          <w:szCs w:val="27"/>
        </w:rPr>
        <w:t>При этом, земельный участок располагается в границах территории объекта культурного наследия регионального значения «Коса, XIX - нач. ХХ вв.» с реестровым номером 30:12-8.660 (достопримечательного места), в границах которого устанавливается режим научной реставрации для использования территории. В целях сохранения объектов культурного наследия предусматривается: - возможность проведения земляных, строительных и иных работ, в том числе по возведению объектов капитального строительства, линейных объектов, на земельных участках в границах территории объекта культурного наследия,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 - возможность проведения работ по реставрации, консервации и приспособлению объекта культурного наследия, благоустройство и озеленение территории в порядке предусмотренным действующим законодательством об охране объектов культурного наследия; осуществление музеефикации и экспонирование здания-памятника, обеспечение сохранения традиционного визуального восприятия объекта культурного наследия с основных видовых точек, обеспечение мер сохранности объекта культурного наследия, его пожарной безопасности, защиты от динамических воздействий; учет мер по обеспечению пожарной безопасности; - возможность восстановления утраченных элементов застройки, реконструкцию инженерных сетей и дорог, не нарушающую целостность объектов культурного наследия и не создающую угрозы его повреждения, разрушения или уничтожения. Вышеуказанные работы должны проводиться в соответствии с Федеральным законом от 25.06.2002 №73-ФЗ «Об объектах культурного наследия (памятниках истории и культуры) народов Российской Федерации».</w:t>
      </w:r>
    </w:p>
    <w:p>
      <w:pPr>
        <w:pStyle w:val="Normal"/>
        <w:tabs>
          <w:tab w:val="clear" w:pos="708"/>
          <w:tab w:val="left" w:pos="720" w:leader="none"/>
        </w:tabs>
        <w:ind w:firstLine="709"/>
        <w:jc w:val="both"/>
        <w:rPr>
          <w:rFonts w:cs="Times New Roman"/>
          <w:sz w:val="27"/>
          <w:szCs w:val="27"/>
        </w:rPr>
      </w:pPr>
      <w:r>
        <w:rPr/>
      </w:r>
    </w:p>
    <w:p>
      <w:pPr>
        <w:pStyle w:val="Normal"/>
        <w:tabs>
          <w:tab w:val="clear" w:pos="708"/>
          <w:tab w:val="left" w:pos="720" w:leader="none"/>
        </w:tabs>
        <w:ind w:firstLine="709"/>
        <w:jc w:val="both"/>
        <w:rPr>
          <w:rFonts w:cs="Times New Roman"/>
          <w:sz w:val="27"/>
          <w:szCs w:val="27"/>
        </w:rPr>
      </w:pPr>
      <w:r>
        <w:rPr>
          <w:rFonts w:cs="Times New Roman"/>
          <w:sz w:val="27"/>
          <w:szCs w:val="27"/>
        </w:rPr>
        <w:t>Также на земельный участок распространяются требования по использованию земельных участков и иных объектов недвижимости, которые не являются памятниками истории и культуры и расположены в границах зон, отображенных на карте зон ограничений градостроительной деятельности Правил, а также в границах зон охраны объектов культурного наследия, установленных постановлением администрации города Астрахани от 02.04.1992 № 436 «Об утверждении границ охранной зоны и зоны регулирования застройки исторической части г. Астрахани» в части, не противоречащей федеральным законам, введенным в действие после принятия указанного постановления и к которым определены следующие положения:</w:t>
      </w:r>
    </w:p>
    <w:p>
      <w:pPr>
        <w:pStyle w:val="Normal"/>
        <w:tabs>
          <w:tab w:val="clear" w:pos="708"/>
          <w:tab w:val="left" w:pos="720" w:leader="none"/>
        </w:tabs>
        <w:ind w:firstLine="709"/>
        <w:jc w:val="both"/>
        <w:rPr>
          <w:rFonts w:cs="Times New Roman"/>
          <w:sz w:val="27"/>
          <w:szCs w:val="27"/>
        </w:rPr>
      </w:pPr>
      <w:r>
        <w:rPr>
          <w:rFonts w:cs="Times New Roman"/>
          <w:sz w:val="27"/>
          <w:szCs w:val="27"/>
        </w:rPr>
        <w:t>а) сохранение линий застройки исторически сложившейся планировочной структуры, при необходимости, восстановление и закрепление градоформирующего значения исторических доминант– утраченных и частично утраченных культовых зданий и комплексов, в архитектурно-пространственной организации территории и в речной панораме;</w:t>
      </w:r>
    </w:p>
    <w:p>
      <w:pPr>
        <w:pStyle w:val="Normal"/>
        <w:tabs>
          <w:tab w:val="clear" w:pos="708"/>
          <w:tab w:val="left" w:pos="720" w:leader="none"/>
        </w:tabs>
        <w:ind w:firstLine="709"/>
        <w:jc w:val="both"/>
        <w:rPr>
          <w:rFonts w:cs="Times New Roman"/>
          <w:sz w:val="27"/>
          <w:szCs w:val="27"/>
        </w:rPr>
      </w:pPr>
      <w:r>
        <w:rPr>
          <w:rFonts w:cs="Times New Roman"/>
          <w:sz w:val="27"/>
          <w:szCs w:val="27"/>
        </w:rPr>
        <w:t>б) принятие габаритов новой застройки, обеспечивающих масштабное соответствие с окружающей исторической средой, исключающих закрытие видовых точек на пространственные доминанты и памятники архитектуры, а также исключающих создание фона, неблагоприятного для восприятия памятников. Осуществление нового строительства по индивидуальным проектам;</w:t>
      </w:r>
    </w:p>
    <w:p>
      <w:pPr>
        <w:pStyle w:val="Normal"/>
        <w:tabs>
          <w:tab w:val="clear" w:pos="708"/>
          <w:tab w:val="left" w:pos="720" w:leader="none"/>
        </w:tabs>
        <w:ind w:firstLine="709"/>
        <w:jc w:val="both"/>
        <w:rPr>
          <w:rFonts w:cs="Times New Roman"/>
          <w:sz w:val="27"/>
          <w:szCs w:val="27"/>
        </w:rPr>
      </w:pPr>
      <w:r>
        <w:rPr>
          <w:rFonts w:cs="Times New Roman"/>
          <w:sz w:val="27"/>
          <w:szCs w:val="27"/>
        </w:rPr>
        <w:t>в) согласование отводов земельных участков под новое строительство, проектов на новое строительство и реконструкцию, сноса существующей застройки с уполномоченным органом охраны объектов культурного наследия;</w:t>
      </w:r>
    </w:p>
    <w:p>
      <w:pPr>
        <w:pStyle w:val="Normal"/>
        <w:tabs>
          <w:tab w:val="clear" w:pos="708"/>
          <w:tab w:val="left" w:pos="720" w:leader="none"/>
        </w:tabs>
        <w:ind w:firstLine="709"/>
        <w:jc w:val="both"/>
        <w:rPr>
          <w:rFonts w:cs="Times New Roman"/>
          <w:sz w:val="27"/>
          <w:szCs w:val="27"/>
        </w:rPr>
      </w:pPr>
      <w:r>
        <w:rPr>
          <w:rFonts w:cs="Times New Roman"/>
          <w:sz w:val="27"/>
          <w:szCs w:val="27"/>
        </w:rPr>
        <w:t>г) ограничение интенсивности дорожно-транспортного движения и создание условий для его снижения. Запрещение расширения существующих промышленных и коммунально-складских предприятий, а также строительства новых. Исключение прокладки инженерных коммуникаций, теплотрасс и магистральных газопроводов надземным способом;</w:t>
      </w:r>
    </w:p>
    <w:p>
      <w:pPr>
        <w:pStyle w:val="Normal"/>
        <w:tabs>
          <w:tab w:val="clear" w:pos="708"/>
          <w:tab w:val="left" w:pos="720" w:leader="none"/>
        </w:tabs>
        <w:ind w:firstLine="709"/>
        <w:jc w:val="both"/>
        <w:rPr>
          <w:rFonts w:cs="Times New Roman"/>
          <w:sz w:val="27"/>
          <w:szCs w:val="27"/>
        </w:rPr>
      </w:pPr>
      <w:r>
        <w:rPr>
          <w:rFonts w:cs="Times New Roman"/>
          <w:sz w:val="27"/>
          <w:szCs w:val="27"/>
        </w:rPr>
        <w:t xml:space="preserve">д) разработка, а при необходимости и корректировка проектов планировки исторических территорий. </w:t>
      </w:r>
    </w:p>
    <w:p>
      <w:pPr>
        <w:pStyle w:val="Normal"/>
        <w:tabs>
          <w:tab w:val="clear" w:pos="708"/>
          <w:tab w:val="left" w:pos="720" w:leader="none"/>
        </w:tabs>
        <w:ind w:firstLine="709"/>
        <w:jc w:val="both"/>
        <w:rPr>
          <w:rFonts w:cs="Times New Roman"/>
          <w:sz w:val="27"/>
          <w:szCs w:val="27"/>
        </w:rPr>
      </w:pPr>
      <w:r>
        <w:rPr>
          <w:rFonts w:cs="Times New Roman"/>
          <w:sz w:val="27"/>
          <w:szCs w:val="27"/>
        </w:rPr>
        <w:t>е) Запрещается распространение наружной рекламы на объектах культурного наследия, включенных в реестр, а также на их территориях, за исключением территорий достопримечательных мест.</w:t>
      </w:r>
    </w:p>
    <w:p>
      <w:pPr>
        <w:pStyle w:val="Normal"/>
        <w:tabs>
          <w:tab w:val="clear" w:pos="708"/>
          <w:tab w:val="left" w:pos="720" w:leader="none"/>
        </w:tabs>
        <w:ind w:firstLine="709"/>
        <w:jc w:val="both"/>
        <w:rPr>
          <w:rFonts w:cs="Times New Roman"/>
          <w:sz w:val="27"/>
          <w:szCs w:val="27"/>
        </w:rPr>
      </w:pPr>
      <w:r>
        <w:rPr>
          <w:rFonts w:cs="Times New Roman"/>
          <w:sz w:val="27"/>
          <w:szCs w:val="27"/>
        </w:rPr>
        <w:t>Нахождение земельного участка в границах достопримечательного места не препятствует осуществлению строительства при условии соблюдения требований ст. 36 Федерального закона от 25.06.2002 №73-ФЗ «Об объектах культурного наследия (памятниках истории и культуры) народов Российской Федерации» и наличия в проектной документации раздела об обеспечении сохранности объекта культурного наследия, согласованного с региональным органом охраны объектов культурного наследия. Данное требование подлежит исполнению на стадии разработки проектной документации и не является препятствием для рассмотрения вопроса об отклонении от предельных параметров разрешенного строительства, реконструкции объектов капитального строительства на текущем этапе.</w:t>
      </w:r>
    </w:p>
    <w:p>
      <w:pPr>
        <w:pStyle w:val="Normal"/>
        <w:tabs>
          <w:tab w:val="clear" w:pos="708"/>
          <w:tab w:val="left" w:pos="720" w:leader="none"/>
        </w:tabs>
        <w:ind w:firstLine="709"/>
        <w:jc w:val="both"/>
        <w:rPr>
          <w:rFonts w:cs="Times New Roman"/>
          <w:sz w:val="27"/>
          <w:szCs w:val="27"/>
        </w:rPr>
      </w:pPr>
      <w:r>
        <w:rPr>
          <w:rFonts w:cs="Times New Roman"/>
          <w:sz w:val="27"/>
          <w:szCs w:val="27"/>
        </w:rPr>
        <w:t>Участником общественных обсуждений обоснованно указано, что в соответствии с ч. 1 ст. 40 Градостроительного кодекса РФ отклонение от предельных параметров допускается лишь при наличии объективно неблагоприятных характеристик земельного участка (конфигурация, инженерно-геологические или иные характеристики). Кроме того, в соответствии с ч. 1.1 ст. 40 Градостроительного кодекса РФ упрощенный порядок (без проведения общественных обсуждений) применяется исключительно в случае однократного изменения предельного параметра не более чем на 10%. Поскольку испрашиваемое отклонение (с 50% до 69,8%) превышает 10-процентный порог, а также не является однократным, рассмотрение данного заявления в рамках общественных обсуждений является правомерным и соответствует требованиям ч. 4 ст. 40 Градостроительного кодекса РФ.</w:t>
      </w:r>
    </w:p>
    <w:p>
      <w:pPr>
        <w:pStyle w:val="Normal"/>
        <w:tabs>
          <w:tab w:val="clear" w:pos="708"/>
          <w:tab w:val="left" w:pos="720" w:leader="none"/>
        </w:tabs>
        <w:ind w:firstLine="709"/>
        <w:jc w:val="both"/>
        <w:rPr>
          <w:rFonts w:cs="Times New Roman"/>
          <w:sz w:val="27"/>
          <w:szCs w:val="27"/>
        </w:rPr>
      </w:pPr>
      <w:r>
        <w:rPr>
          <w:rFonts w:cs="Times New Roman"/>
          <w:sz w:val="27"/>
          <w:szCs w:val="27"/>
        </w:rPr>
        <w:t>В части запроса о предоставлении информации о территориальной зоне, подзоне, объектах культурного наследия и их зонах охраны замечание учитывается – соответствующие сведения приведены выше. В части замечания о неправомерности рассмотрения заявления в рамках общественных обсуждений замечание отклоняется, поскольку, как указано выше, испрашиваемое отклонение превышает 10% и не является однократным, что в силу ч. 1 и ч. 4 ст. 40 Градостроительного кодекса РФ обусловливает проведение общественных обсуждений.</w:t>
      </w:r>
    </w:p>
    <w:p>
      <w:pPr>
        <w:pStyle w:val="Normal"/>
        <w:tabs>
          <w:tab w:val="clear" w:pos="708"/>
          <w:tab w:val="left" w:pos="720" w:leader="none"/>
        </w:tabs>
        <w:ind w:firstLine="709"/>
        <w:jc w:val="both"/>
        <w:rPr>
          <w:rFonts w:cs="Times New Roman"/>
          <w:sz w:val="27"/>
          <w:szCs w:val="27"/>
        </w:rPr>
      </w:pPr>
      <w:r>
        <w:rPr>
          <w:b/>
          <w:bCs/>
          <w:color w:val="000000"/>
          <w:sz w:val="27"/>
          <w:szCs w:val="27"/>
        </w:rPr>
        <w:t xml:space="preserve">По пункту 2: </w:t>
      </w:r>
      <w:r>
        <w:rPr>
          <w:rFonts w:cs="Times New Roman"/>
          <w:sz w:val="27"/>
          <w:szCs w:val="27"/>
        </w:rPr>
        <w:t>В представленном проектном обосновании указаны объективные характеристики земельного участка (узкая вытянутая конфигурация, стесненность застройки), которые в соответствии с ч. 1 ст. 40 Градостроительного кодекса РФ могут быть квалифицированы как «иные характеристики», дающие право на обращение за разрешением. Довод о превышении 10</w:t>
        <w:noBreakHyphen/>
        <w:t xml:space="preserve">процентного порога, установленного ч. 1.1 ст. 40, не препятствует рассмотрению по ч. 1, однако вопрос о допустимости такого превышения подлежит оценке при принятии окончательного решения на основе представленных материалов. В связи с изложенным, указанное замечание рекомендуется не учитывать. </w:t>
      </w:r>
    </w:p>
    <w:p>
      <w:pPr>
        <w:pStyle w:val="Normal"/>
        <w:tabs>
          <w:tab w:val="clear" w:pos="708"/>
          <w:tab w:val="left" w:pos="9355" w:leader="none"/>
        </w:tabs>
        <w:ind w:firstLine="709"/>
        <w:jc w:val="both"/>
        <w:rPr>
          <w:rFonts w:cs="Times New Roman"/>
          <w:sz w:val="27"/>
          <w:szCs w:val="27"/>
        </w:rPr>
      </w:pPr>
      <w:r>
        <w:rPr>
          <w:b/>
          <w:bCs/>
          <w:color w:val="000000"/>
          <w:sz w:val="27"/>
          <w:szCs w:val="27"/>
        </w:rPr>
        <w:t xml:space="preserve">По пункту 3: </w:t>
      </w:r>
      <w:r>
        <w:rPr>
          <w:rFonts w:cs="Times New Roman"/>
          <w:sz w:val="27"/>
          <w:szCs w:val="27"/>
        </w:rPr>
        <w:t xml:space="preserve">Предыдущие общественные обсуждения по вышеуказанному земельному участку проходили в январе-феврале 2026 года. Предложения и замечания в рамках общественных обсуждений не поступали, в связи с чем распоряжением министерства имущественных и градостроительных отношений Астраханской области от 24.02.2026 № 348 было предоставлено разрешение на отклонение от предельных параметров разрешенного строительства, реконструкции объекта капитального строительства для земельного участка площадью 2310 кв.м. с кадастровым номером 30:12:010407:6 с установлением процента застройки для объектов нежилого назначения – не более 66,29% от площади земельного участка. </w:t>
      </w:r>
    </w:p>
    <w:p>
      <w:pPr>
        <w:pStyle w:val="Normal"/>
        <w:tabs>
          <w:tab w:val="clear" w:pos="708"/>
          <w:tab w:val="left" w:pos="9355" w:leader="none"/>
        </w:tabs>
        <w:ind w:firstLine="709"/>
        <w:jc w:val="both"/>
        <w:rPr>
          <w:bCs/>
          <w:color w:val="000000"/>
          <w:sz w:val="27"/>
          <w:szCs w:val="27"/>
        </w:rPr>
      </w:pPr>
      <w:r>
        <w:rPr>
          <w:bCs/>
          <w:color w:val="000000"/>
          <w:sz w:val="27"/>
          <w:szCs w:val="27"/>
        </w:rPr>
        <w:t>Кроме того, в соответствии с ч. 1.1 ст. 40 Градостроительного кодекса РФ упрощенный порядок (без проведения общественных обсуждений) применяется исключительно в случае однократного изменения предельного параметра не более чем на 10%. Поскольку испрашиваемое отклонение (с 50% до 69,8%) превышает 10-процентный порог, а также не является однократным (ранее было принято решение о предоставлении разрешения на отклонение от предельных параметров –процент застройки - не более 66,29% от площади земельного участка), рассмотрение данного заявления в рамках общественных обсуждений является правомерным и соответствует требованиям ч. 4 ст. 40 Градостроительного кодекса РФ. Наличие предыдущего разрешения не препятствует рассмотрению нового заявления, однако данный факт подлежит оценке при принятии окончательного решения.</w:t>
      </w:r>
    </w:p>
    <w:p>
      <w:pPr>
        <w:pStyle w:val="Normal"/>
        <w:tabs>
          <w:tab w:val="clear" w:pos="708"/>
          <w:tab w:val="left" w:pos="709" w:leader="none"/>
        </w:tabs>
        <w:jc w:val="both"/>
        <w:rPr>
          <w:rFonts w:cs="Times New Roman"/>
          <w:sz w:val="27"/>
          <w:szCs w:val="27"/>
        </w:rPr>
      </w:pPr>
      <w:r>
        <w:rPr>
          <w:rFonts w:cs="Times New Roman"/>
          <w:sz w:val="27"/>
          <w:szCs w:val="27"/>
        </w:rPr>
        <w:tab/>
        <w:t>В связи с этим замечание рекомендуется учесть как содержащее фактическую информацию, которая должна быть принята во внимание при окончательном решении.</w:t>
      </w:r>
    </w:p>
    <w:p>
      <w:pPr>
        <w:pStyle w:val="Normal"/>
        <w:tabs>
          <w:tab w:val="clear" w:pos="708"/>
          <w:tab w:val="left" w:pos="709" w:leader="none"/>
        </w:tabs>
        <w:jc w:val="both"/>
        <w:rPr>
          <w:rFonts w:cs="Times New Roman"/>
          <w:sz w:val="27"/>
          <w:szCs w:val="27"/>
        </w:rPr>
      </w:pPr>
      <w:r>
        <w:rPr>
          <w:rFonts w:cs="Times New Roman"/>
          <w:sz w:val="27"/>
          <w:szCs w:val="27"/>
        </w:rPr>
        <w:tab/>
      </w:r>
      <w:r>
        <w:rPr>
          <w:b/>
          <w:bCs/>
          <w:color w:val="000000"/>
          <w:sz w:val="27"/>
          <w:szCs w:val="27"/>
        </w:rPr>
        <w:t xml:space="preserve">По пункту 4: </w:t>
      </w:r>
      <w:r>
        <w:rPr>
          <w:rFonts w:cs="Times New Roman"/>
          <w:sz w:val="27"/>
          <w:szCs w:val="27"/>
        </w:rPr>
        <w:t xml:space="preserve">Согласно п. А.8 приложения А СП 118.13330.2022 «СНиП 31-06-2009 Общественные здания и сооружения», </w:t>
      </w:r>
      <w:r>
        <w:rPr>
          <w:color w:val="22272F"/>
          <w:sz w:val="27"/>
          <w:szCs w:val="27"/>
          <w:shd w:fill="FFFFFF" w:val="clear"/>
        </w:rPr>
        <w:t>площадь под общественным зданием, расположенным на столбах, проезды под общественным зданием, а также части общественного здания, консольно выступающие за плоскость стены на высоте менее 4,5 м, включаются в площадь застройки. Проекции частей здания, консольно выступающих за пределы стены над выделенной территорией выше 4,5 м, в площадь застройки не включаются</w:t>
      </w:r>
      <w:r>
        <w:rPr>
          <w:rFonts w:cs="Times New Roman"/>
          <w:sz w:val="27"/>
          <w:szCs w:val="27"/>
        </w:rPr>
        <w:t>. В проектном обосновании отсутствует проверяемый расчет с указанием, какие части относятся к опорам, а какие — к консолям. Вместе с тем требование представить поэтажные планы и разрезы с отметками выходит за рамки проектного обоснования, предусмотренного процедурой предоставления разрешения на отклонение от предельных параметров разрешенного строительства, реконструкции объекта капитального строительства.</w:t>
      </w:r>
    </w:p>
    <w:p>
      <w:pPr>
        <w:pStyle w:val="Normal"/>
        <w:tabs>
          <w:tab w:val="clear" w:pos="708"/>
          <w:tab w:val="left" w:pos="720" w:leader="none"/>
        </w:tabs>
        <w:ind w:firstLine="709"/>
        <w:jc w:val="both"/>
        <w:rPr>
          <w:rFonts w:cs="Times New Roman"/>
          <w:sz w:val="27"/>
          <w:szCs w:val="27"/>
        </w:rPr>
      </w:pPr>
      <w:r>
        <w:rPr>
          <w:rFonts w:cs="Times New Roman"/>
          <w:sz w:val="27"/>
          <w:szCs w:val="27"/>
        </w:rPr>
        <w:t>Рекомендуется принять замечание в части необходимости представления проверяемого расчета площади застройки, а в части требования о предоставлении полных поэтажных планов и разрезов проектируемого здания — отклонить.</w:t>
      </w:r>
    </w:p>
    <w:p>
      <w:pPr>
        <w:pStyle w:val="Normal"/>
        <w:tabs>
          <w:tab w:val="clear" w:pos="708"/>
          <w:tab w:val="left" w:pos="720" w:leader="none"/>
        </w:tabs>
        <w:ind w:firstLine="709"/>
        <w:jc w:val="both"/>
        <w:rPr>
          <w:rFonts w:cs="Times New Roman"/>
          <w:sz w:val="27"/>
          <w:szCs w:val="27"/>
        </w:rPr>
      </w:pPr>
      <w:r>
        <w:rPr>
          <w:b/>
          <w:bCs/>
          <w:color w:val="000000"/>
          <w:sz w:val="27"/>
          <w:szCs w:val="27"/>
        </w:rPr>
        <w:t xml:space="preserve">По пунктам 5, 6: </w:t>
      </w:r>
      <w:r>
        <w:rPr>
          <w:rFonts w:cs="Times New Roman"/>
          <w:sz w:val="27"/>
          <w:szCs w:val="27"/>
        </w:rPr>
        <w:t>Сумма заявленных процентов застройки (69,8 %), озеленения (не менее 25 %) и территории для хранения транспорта (не менее 10 %) превышает 100 %, что требует прозрачной экспликации с указанием площадей двойного использования, в частности, озеленения на эксплуатируемой кровле. В проектном обосновании обозначено об «озеленении» как о факте, но не уточняется, какая часть озеленения находится непосредственно на земле, а какая — на кровле, то есть отсутствует баланс территории.</w:t>
      </w:r>
    </w:p>
    <w:p>
      <w:pPr>
        <w:pStyle w:val="Normal"/>
        <w:tabs>
          <w:tab w:val="clear" w:pos="708"/>
          <w:tab w:val="left" w:pos="720" w:leader="none"/>
        </w:tabs>
        <w:ind w:firstLine="709"/>
        <w:jc w:val="both"/>
        <w:rPr>
          <w:rFonts w:cs="Times New Roman"/>
          <w:sz w:val="27"/>
          <w:szCs w:val="27"/>
        </w:rPr>
      </w:pPr>
      <w:r>
        <w:rPr>
          <w:rFonts w:cs="Times New Roman"/>
          <w:sz w:val="27"/>
          <w:szCs w:val="27"/>
        </w:rPr>
        <w:t>Учитывая, что данный вопрос непосредственно относится к оценке соблюдения градостроительного регламента, замечания по пунктам 5 и 6 рекомендуется учесть.</w:t>
      </w:r>
    </w:p>
    <w:p>
      <w:pPr>
        <w:pStyle w:val="Normal"/>
        <w:tabs>
          <w:tab w:val="clear" w:pos="708"/>
          <w:tab w:val="left" w:pos="709" w:leader="none"/>
        </w:tabs>
        <w:jc w:val="both"/>
        <w:rPr>
          <w:rFonts w:cs="Times New Roman"/>
          <w:sz w:val="27"/>
          <w:szCs w:val="27"/>
        </w:rPr>
      </w:pPr>
      <w:r>
        <w:rPr>
          <w:b/>
          <w:bCs/>
          <w:color w:val="000000"/>
          <w:sz w:val="27"/>
          <w:szCs w:val="27"/>
        </w:rPr>
        <w:tab/>
        <w:t xml:space="preserve">По пунктам 7, 8, 9, 14: </w:t>
      </w:r>
      <w:r>
        <w:rPr>
          <w:bCs/>
          <w:color w:val="000000"/>
          <w:sz w:val="27"/>
          <w:szCs w:val="27"/>
        </w:rPr>
        <w:t>Вопросы</w:t>
      </w:r>
      <w:r>
        <w:rPr>
          <w:color w:val="000000"/>
          <w:sz w:val="27"/>
          <w:szCs w:val="27"/>
        </w:rPr>
        <w:t xml:space="preserve"> определения степеней огнестойкости, классов пожарной опасности, точных расчетов противопожарных разрывов, разработки детальных схем маневрирования пожарной техники с радиусами, расстояниями и нагрузками на покрытие, соответствия стоянки автомобилей требованиям СП 551.1311500.2026 «Системы противопожарной защиты. Стоянки автомобилей. Требования пожарной безопасности», проведения инженерно-геологических изысканий и расчетов зоны влияния на соседние здания относится к стадии проектной документации, </w:t>
      </w:r>
      <w:r>
        <w:rPr>
          <w:bCs/>
          <w:color w:val="000000"/>
          <w:sz w:val="27"/>
          <w:szCs w:val="27"/>
        </w:rPr>
        <w:t>в отношении которой в соответствие с действующим законодательством в обязательном порядке проводится экспертиза</w:t>
      </w:r>
      <w:r>
        <w:rPr>
          <w:color w:val="000000"/>
          <w:sz w:val="27"/>
          <w:szCs w:val="27"/>
        </w:rPr>
        <w:t xml:space="preserve">, и не является обязательным элементом проектного обоснования на отклонение от предельных параметров </w:t>
      </w:r>
      <w:r>
        <w:rPr>
          <w:rFonts w:cs="Times New Roman"/>
          <w:sz w:val="27"/>
          <w:szCs w:val="27"/>
        </w:rPr>
        <w:t>разрешенного строительства, реконструкции объекта капитального строительства.</w:t>
      </w:r>
    </w:p>
    <w:p>
      <w:pPr>
        <w:pStyle w:val="Normal"/>
        <w:ind w:firstLine="708"/>
        <w:jc w:val="both"/>
        <w:rPr>
          <w:rFonts w:cs="Times New Roman"/>
          <w:sz w:val="27"/>
          <w:szCs w:val="27"/>
        </w:rPr>
      </w:pPr>
      <w:r>
        <w:rPr>
          <w:rFonts w:cs="Times New Roman"/>
          <w:sz w:val="27"/>
          <w:szCs w:val="27"/>
        </w:rPr>
        <w:t xml:space="preserve">Замечания рекомендуется учесть, как рекомендацию к подготовке проектной документации, а в части предоставления расчетов, схем – отклонить. </w:t>
      </w:r>
    </w:p>
    <w:p>
      <w:pPr>
        <w:pStyle w:val="Normal"/>
        <w:tabs>
          <w:tab w:val="clear" w:pos="708"/>
          <w:tab w:val="left" w:pos="9355" w:leader="none"/>
        </w:tabs>
        <w:jc w:val="both"/>
        <w:rPr>
          <w:color w:val="000000"/>
          <w:sz w:val="27"/>
          <w:szCs w:val="27"/>
        </w:rPr>
      </w:pPr>
      <w:r>
        <w:rPr>
          <w:color w:val="000000"/>
          <w:sz w:val="27"/>
          <w:szCs w:val="27"/>
        </w:rPr>
      </w:r>
    </w:p>
    <w:p>
      <w:pPr>
        <w:pStyle w:val="Normal"/>
        <w:tabs>
          <w:tab w:val="clear" w:pos="708"/>
          <w:tab w:val="left" w:pos="709" w:leader="none"/>
        </w:tabs>
        <w:jc w:val="both"/>
        <w:rPr>
          <w:color w:val="000000"/>
          <w:sz w:val="27"/>
          <w:szCs w:val="27"/>
        </w:rPr>
      </w:pPr>
      <w:r>
        <w:rPr>
          <w:b/>
          <w:bCs/>
          <w:color w:val="000000"/>
          <w:sz w:val="27"/>
          <w:szCs w:val="27"/>
        </w:rPr>
        <w:tab/>
        <w:t>По пункту 10:</w:t>
      </w:r>
      <w:r>
        <w:rPr>
          <w:color w:val="000000"/>
          <w:sz w:val="27"/>
          <w:szCs w:val="27"/>
        </w:rPr>
        <w:t xml:space="preserve"> </w:t>
      </w:r>
      <w:r>
        <w:rPr>
          <w:rFonts w:cs="Times New Roman"/>
          <w:sz w:val="27"/>
          <w:szCs w:val="27"/>
        </w:rPr>
        <w:t xml:space="preserve">Как обозначено в аргументированных рекомендациях о целесообразности или нецелесообразности учета внесенных участниками общественных обсуждений предложений и замечаний по пункту 1, земельный участок с кадастровым номером 30:12:010407:6 располагается в территориальной зоне Ц-2 (зоне развития культурно-административных функций), внесенной в Единый государственный реестр недвижимости с реестровым номером 30:12-7.244, и не попадает в подзону Ц-2-1. В указанной территориальной зоне для объектов нежилого назначения предельная высота объектов нежилого назначения – 30 м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вентиляционных труб, лифтовых шахт). Предельное количество этажей - 10 этажей. При этом, требования к архитектурно-градостроительному облику объектов капитального строительства действующими Правилами землепользования и застройки не установлены. </w:t>
      </w:r>
    </w:p>
    <w:p>
      <w:pPr>
        <w:pStyle w:val="Normal"/>
        <w:tabs>
          <w:tab w:val="clear" w:pos="708"/>
          <w:tab w:val="left" w:pos="720" w:leader="none"/>
        </w:tabs>
        <w:ind w:firstLine="709"/>
        <w:jc w:val="both"/>
        <w:rPr>
          <w:rFonts w:cs="Times New Roman"/>
          <w:sz w:val="27"/>
          <w:szCs w:val="27"/>
        </w:rPr>
      </w:pPr>
      <w:r>
        <w:rPr>
          <w:rFonts w:cs="Times New Roman"/>
          <w:sz w:val="27"/>
          <w:szCs w:val="27"/>
        </w:rPr>
        <w:t xml:space="preserve">Согласно проектному обоснованию, высота проектируемого здания составляет 24,04 м, что не противоречит градостроительному регламенту территориальной зоны Ц-2. В связи с этим, замечание рекомендуется не учитывать. </w:t>
      </w:r>
    </w:p>
    <w:p>
      <w:pPr>
        <w:pStyle w:val="Normal"/>
        <w:ind w:firstLine="708"/>
        <w:jc w:val="both"/>
        <w:rPr>
          <w:bCs/>
          <w:color w:val="000000"/>
          <w:sz w:val="27"/>
          <w:szCs w:val="27"/>
        </w:rPr>
      </w:pPr>
      <w:r>
        <w:rPr>
          <w:b/>
          <w:bCs/>
          <w:color w:val="000000"/>
          <w:sz w:val="27"/>
          <w:szCs w:val="27"/>
        </w:rPr>
        <w:t xml:space="preserve">По пунктам 11–13: </w:t>
      </w:r>
      <w:r>
        <w:rPr>
          <w:bCs/>
          <w:color w:val="000000"/>
          <w:sz w:val="27"/>
          <w:szCs w:val="27"/>
        </w:rPr>
        <w:t>В соответствии со ст. 59, 60 Федерального закона от 25.06.2002 № 73</w:t>
        <w:noBreakHyphen/>
        <w:t>ФЗ «Об объектах культурного наследия (памятниках истории и культуры) народов Российской Федерации» оценка воздействия на историческое поселение, панорамы и рядовую застройку является обязательной, однако полноценный ландшафтно-визуальный анализ и историко</w:t>
        <w:noBreakHyphen/>
        <w:t xml:space="preserve">культурная экспертиза проводятся на стадии подготовки проектной документации, в отношении которой в соответствие с действующим законодательством в обязательном порядке проводится экспертиза, и не входят в состав проектного обоснования </w:t>
      </w:r>
      <w:r>
        <w:rPr>
          <w:color w:val="000000"/>
          <w:sz w:val="27"/>
          <w:szCs w:val="27"/>
        </w:rPr>
        <w:t xml:space="preserve">на отклонение от предельных параметров </w:t>
      </w:r>
      <w:r>
        <w:rPr>
          <w:rFonts w:cs="Times New Roman"/>
          <w:sz w:val="27"/>
          <w:szCs w:val="27"/>
        </w:rPr>
        <w:t>разрешенного строительства, реконструкции объекта капитального строительства</w:t>
      </w:r>
      <w:r>
        <w:rPr>
          <w:bCs/>
          <w:color w:val="000000"/>
          <w:sz w:val="27"/>
          <w:szCs w:val="27"/>
        </w:rPr>
        <w:t>.</w:t>
      </w:r>
    </w:p>
    <w:p>
      <w:pPr>
        <w:pStyle w:val="Normal"/>
        <w:ind w:firstLine="708"/>
        <w:jc w:val="both"/>
        <w:rPr>
          <w:bCs/>
          <w:color w:val="000000"/>
          <w:sz w:val="27"/>
          <w:szCs w:val="27"/>
        </w:rPr>
      </w:pPr>
      <w:r>
        <w:rPr>
          <w:bCs/>
          <w:color w:val="000000"/>
          <w:sz w:val="27"/>
          <w:szCs w:val="27"/>
        </w:rPr>
        <w:t>Замечания являются обоснованными по существу, однако их детальная проработка (ландшафтно-визуальный анализ, историко-культурная экспертиза) в соответствии с действующим законодательством осуществляется на стадии подготовки проектной документации. В рамках проектного обоснования на отклонение от предельных параметров такие материалы не требуются. Вместе с тем при разработке проектной документации рекомендуется в обязательном порядке выполнить требования ст. 59, 60 Федерального закона от 25.06.2002</w:t>
        <w:br/>
        <w:t>№ 73</w:t>
        <w:noBreakHyphen/>
        <w:t>ФЗ «Об объектах культурного наследия (памятниках истории и культуры) народов Российской Федерации».</w:t>
      </w:r>
    </w:p>
    <w:p>
      <w:pPr>
        <w:pStyle w:val="Normal"/>
        <w:ind w:firstLine="708"/>
        <w:jc w:val="both"/>
        <w:rPr>
          <w:rFonts w:cs="Times New Roman"/>
          <w:sz w:val="27"/>
          <w:szCs w:val="27"/>
        </w:rPr>
      </w:pPr>
      <w:r>
        <w:rPr>
          <w:rFonts w:cs="Times New Roman"/>
          <w:sz w:val="27"/>
          <w:szCs w:val="27"/>
        </w:rPr>
        <w:t xml:space="preserve">Замечания рекомендуется учесть, как рекомендацию к подготовке проектной документации, а в части предоставления аналитических материалов – отклонить. </w:t>
      </w:r>
    </w:p>
    <w:p>
      <w:pPr>
        <w:pStyle w:val="Normal"/>
        <w:tabs>
          <w:tab w:val="clear" w:pos="708"/>
          <w:tab w:val="left" w:pos="709" w:leader="none"/>
        </w:tabs>
        <w:jc w:val="both"/>
        <w:rPr>
          <w:color w:val="000000"/>
          <w:sz w:val="27"/>
          <w:szCs w:val="27"/>
        </w:rPr>
      </w:pPr>
      <w:r>
        <w:rPr>
          <w:b/>
          <w:bCs/>
          <w:color w:val="000000"/>
          <w:sz w:val="27"/>
          <w:szCs w:val="27"/>
        </w:rPr>
        <w:tab/>
        <w:t>По пункту 15:</w:t>
      </w:r>
      <w:r>
        <w:rPr>
          <w:color w:val="000000"/>
          <w:sz w:val="27"/>
          <w:szCs w:val="27"/>
        </w:rPr>
        <w:t xml:space="preserve"> </w:t>
      </w:r>
      <w:r>
        <w:rPr>
          <w:rFonts w:cs="Times New Roman"/>
          <w:sz w:val="27"/>
          <w:szCs w:val="27"/>
        </w:rPr>
        <w:t xml:space="preserve">В проектном обосновании отсутствует расчет количества машино-мест, что необходимо для подтверждения соблюдения градостроительного регламента (не менее 10% для хранения транспорта от площади земельного участка). Так как данный вопрос относится непосредственно к обоснованию соответствия требованиям градостроительного регламента, замечание рекомендуется учесть. </w:t>
      </w:r>
    </w:p>
    <w:p>
      <w:pPr>
        <w:pStyle w:val="Normal"/>
        <w:tabs>
          <w:tab w:val="clear" w:pos="708"/>
          <w:tab w:val="left" w:pos="9355" w:leader="none"/>
        </w:tabs>
        <w:ind w:firstLine="709"/>
        <w:jc w:val="both"/>
        <w:rPr>
          <w:b/>
          <w:b/>
          <w:bCs/>
          <w:color w:val="000000"/>
          <w:sz w:val="27"/>
          <w:szCs w:val="27"/>
        </w:rPr>
      </w:pPr>
      <w:r>
        <w:rPr>
          <w:b/>
          <w:bCs/>
          <w:color w:val="000000"/>
          <w:sz w:val="27"/>
          <w:szCs w:val="27"/>
        </w:rPr>
        <w:tab/>
      </w:r>
    </w:p>
    <w:p>
      <w:pPr>
        <w:pStyle w:val="Normal"/>
        <w:tabs>
          <w:tab w:val="clear" w:pos="708"/>
          <w:tab w:val="left" w:pos="9355" w:leader="none"/>
        </w:tabs>
        <w:ind w:firstLine="709"/>
        <w:jc w:val="both"/>
        <w:rPr>
          <w:rFonts w:cs="Times New Roman"/>
          <w:sz w:val="27"/>
          <w:szCs w:val="27"/>
        </w:rPr>
      </w:pPr>
      <w:r>
        <w:rPr>
          <w:b/>
          <w:bCs/>
          <w:color w:val="000000"/>
          <w:sz w:val="27"/>
          <w:szCs w:val="27"/>
        </w:rPr>
        <w:t>По пункту 16:</w:t>
      </w:r>
      <w:r>
        <w:rPr>
          <w:color w:val="000000"/>
          <w:sz w:val="27"/>
          <w:szCs w:val="27"/>
        </w:rPr>
        <w:t xml:space="preserve"> </w:t>
      </w:r>
      <w:r>
        <w:rPr>
          <w:rFonts w:cs="Times New Roman"/>
          <w:sz w:val="27"/>
          <w:szCs w:val="27"/>
        </w:rPr>
        <w:t>Замечание носит процедурный характер и обязывает организатора дать аргументированные ответы на все замечания в протоколе и заключении. Настоящее заключение содержит мотивированные ответы по каждому из поступивших замечаний, что соответствует требованиям ч. 11, 18, 22 ст. 5.1 Градостроительного кодекса РФ. В связи с этим замечание считается учтенным в части требования к оформлению итогового документа.</w:t>
      </w:r>
    </w:p>
    <w:p>
      <w:pPr>
        <w:pStyle w:val="Normal"/>
        <w:tabs>
          <w:tab w:val="clear" w:pos="708"/>
          <w:tab w:val="left" w:pos="9355" w:leader="none"/>
        </w:tabs>
        <w:jc w:val="both"/>
        <w:rPr>
          <w:bCs/>
          <w:color w:val="000000"/>
          <w:sz w:val="27"/>
          <w:szCs w:val="27"/>
        </w:rPr>
      </w:pPr>
      <w:r>
        <w:rPr>
          <w:bCs/>
          <w:color w:val="000000"/>
          <w:sz w:val="27"/>
          <w:szCs w:val="27"/>
        </w:rPr>
      </w:r>
    </w:p>
    <w:p>
      <w:pPr>
        <w:pStyle w:val="Normal"/>
        <w:tabs>
          <w:tab w:val="clear" w:pos="708"/>
          <w:tab w:val="left" w:pos="9355" w:leader="none"/>
        </w:tabs>
        <w:jc w:val="both"/>
        <w:rPr>
          <w:bCs/>
          <w:color w:val="000000"/>
          <w:sz w:val="27"/>
          <w:szCs w:val="27"/>
        </w:rPr>
      </w:pPr>
      <w:r>
        <w:rPr>
          <w:bCs/>
          <w:color w:val="000000"/>
          <w:sz w:val="27"/>
          <w:szCs w:val="27"/>
        </w:rPr>
        <w:t>Выводы по результатам общественных обсуждений:</w:t>
      </w:r>
    </w:p>
    <w:p>
      <w:pPr>
        <w:pStyle w:val="Normal"/>
        <w:tabs>
          <w:tab w:val="clear" w:pos="708"/>
          <w:tab w:val="left" w:pos="9355" w:leader="none"/>
        </w:tabs>
        <w:jc w:val="both"/>
        <w:rPr>
          <w:color w:val="000000"/>
          <w:sz w:val="27"/>
          <w:szCs w:val="27"/>
        </w:rPr>
      </w:pPr>
      <w:r>
        <w:rPr>
          <w:color w:val="000000"/>
          <w:sz w:val="27"/>
          <w:szCs w:val="27"/>
        </w:rPr>
      </w:r>
    </w:p>
    <w:p>
      <w:pPr>
        <w:pStyle w:val="Dsmarkdownparagraph"/>
        <w:shd w:val="clear" w:color="auto" w:fill="FFFFFF"/>
        <w:spacing w:beforeAutospacing="0" w:before="0" w:afterAutospacing="0" w:after="0"/>
        <w:ind w:firstLine="708"/>
        <w:jc w:val="both"/>
        <w:rPr>
          <w:rFonts w:eastAsia="Lucida Sans Unicode" w:cs="Tahoma"/>
          <w:bCs/>
          <w:color w:val="000000"/>
          <w:kern w:val="2"/>
          <w:sz w:val="27"/>
          <w:szCs w:val="27"/>
          <w:lang w:eastAsia="zh-CN" w:bidi="hi-IN"/>
        </w:rPr>
      </w:pPr>
      <w:r>
        <w:rPr>
          <w:rFonts w:eastAsia="Lucida Sans Unicode" w:cs="Tahoma"/>
          <w:bCs/>
          <w:color w:val="000000"/>
          <w:kern w:val="2"/>
          <w:sz w:val="27"/>
          <w:szCs w:val="27"/>
          <w:lang w:eastAsia="zh-CN" w:bidi="hi-IN"/>
        </w:rPr>
        <w:t>На основании рассмотрения поступивших замечаний установлено, что представленное проектное обоснование содержит недостатки, касающиеся:</w:t>
      </w:r>
    </w:p>
    <w:p>
      <w:pPr>
        <w:pStyle w:val="Dsmarkdownparagraph"/>
        <w:numPr>
          <w:ilvl w:val="0"/>
          <w:numId w:val="2"/>
        </w:numPr>
        <w:shd w:val="clear" w:color="auto" w:fill="FFFFFF"/>
        <w:spacing w:beforeAutospacing="0" w:before="0" w:afterAutospacing="0" w:after="0"/>
        <w:ind w:left="0" w:firstLine="708"/>
        <w:jc w:val="both"/>
        <w:rPr>
          <w:rFonts w:eastAsia="Lucida Sans Unicode" w:cs="Tahoma"/>
          <w:bCs/>
          <w:color w:val="000000"/>
          <w:kern w:val="2"/>
          <w:sz w:val="27"/>
          <w:szCs w:val="27"/>
          <w:lang w:eastAsia="zh-CN" w:bidi="hi-IN"/>
        </w:rPr>
      </w:pPr>
      <w:r>
        <w:rPr>
          <w:rFonts w:eastAsia="Lucida Sans Unicode" w:cs="Tahoma"/>
          <w:bCs/>
          <w:color w:val="000000"/>
          <w:kern w:val="2"/>
          <w:sz w:val="27"/>
          <w:szCs w:val="27"/>
          <w:lang w:eastAsia="zh-CN" w:bidi="hi-IN"/>
        </w:rPr>
        <w:t>отсутствия проверяемого расчета площади застройки с учетом конструктивных особенностей (п. 4);</w:t>
      </w:r>
    </w:p>
    <w:p>
      <w:pPr>
        <w:pStyle w:val="Dsmarkdownparagraph"/>
        <w:numPr>
          <w:ilvl w:val="0"/>
          <w:numId w:val="2"/>
        </w:numPr>
        <w:shd w:val="clear" w:color="auto" w:fill="FFFFFF"/>
        <w:spacing w:beforeAutospacing="0" w:before="0" w:afterAutospacing="0" w:after="0"/>
        <w:ind w:left="0" w:firstLine="708"/>
        <w:jc w:val="both"/>
        <w:rPr>
          <w:rFonts w:eastAsia="Lucida Sans Unicode" w:cs="Tahoma"/>
          <w:bCs/>
          <w:color w:val="000000"/>
          <w:kern w:val="2"/>
          <w:sz w:val="27"/>
          <w:szCs w:val="27"/>
          <w:lang w:eastAsia="zh-CN" w:bidi="hi-IN"/>
        </w:rPr>
      </w:pPr>
      <w:r>
        <w:rPr>
          <w:rFonts w:eastAsia="Lucida Sans Unicode" w:cs="Tahoma"/>
          <w:bCs/>
          <w:color w:val="000000"/>
          <w:kern w:val="2"/>
          <w:sz w:val="27"/>
          <w:szCs w:val="27"/>
          <w:lang w:eastAsia="zh-CN" w:bidi="hi-IN"/>
        </w:rPr>
        <w:t>отсутствия полного баланса территории с разделением на наземное озеленение и озеленение кровли (п. 5, 6);</w:t>
      </w:r>
    </w:p>
    <w:p>
      <w:pPr>
        <w:pStyle w:val="Dsmarkdownparagraph"/>
        <w:numPr>
          <w:ilvl w:val="0"/>
          <w:numId w:val="2"/>
        </w:numPr>
        <w:shd w:val="clear" w:color="auto" w:fill="FFFFFF"/>
        <w:spacing w:beforeAutospacing="0" w:before="0" w:afterAutospacing="0" w:after="0"/>
        <w:ind w:left="0" w:firstLine="708"/>
        <w:jc w:val="both"/>
        <w:rPr>
          <w:rFonts w:eastAsia="Lucida Sans Unicode" w:cs="Tahoma"/>
          <w:bCs/>
          <w:color w:val="000000"/>
          <w:kern w:val="2"/>
          <w:sz w:val="27"/>
          <w:szCs w:val="27"/>
          <w:lang w:eastAsia="zh-CN" w:bidi="hi-IN"/>
        </w:rPr>
      </w:pPr>
      <w:r>
        <w:rPr>
          <w:rFonts w:eastAsia="Lucida Sans Unicode" w:cs="Tahoma"/>
          <w:bCs/>
          <w:color w:val="000000"/>
          <w:kern w:val="2"/>
          <w:sz w:val="27"/>
          <w:szCs w:val="27"/>
          <w:lang w:eastAsia="zh-CN" w:bidi="hi-IN"/>
        </w:rPr>
        <w:t>отсутствия расчета парковочной обеспеченности (п. 15).</w:t>
      </w:r>
    </w:p>
    <w:p>
      <w:pPr>
        <w:pStyle w:val="Dsmarkdownparagraph"/>
        <w:shd w:val="clear" w:color="auto" w:fill="FFFFFF"/>
        <w:spacing w:beforeAutospacing="0" w:before="0" w:afterAutospacing="0" w:after="0"/>
        <w:ind w:firstLine="708"/>
        <w:jc w:val="both"/>
        <w:rPr>
          <w:rFonts w:eastAsia="Lucida Sans Unicode" w:cs="Tahoma"/>
          <w:bCs/>
          <w:color w:val="000000"/>
          <w:kern w:val="2"/>
          <w:sz w:val="27"/>
          <w:szCs w:val="27"/>
          <w:lang w:eastAsia="zh-CN" w:bidi="hi-IN"/>
        </w:rPr>
      </w:pPr>
      <w:r>
        <w:rPr>
          <w:rFonts w:eastAsia="Lucida Sans Unicode" w:cs="Tahoma"/>
          <w:bCs/>
          <w:color w:val="000000"/>
          <w:kern w:val="2"/>
          <w:sz w:val="27"/>
          <w:szCs w:val="27"/>
          <w:lang w:eastAsia="zh-CN" w:bidi="hi-IN"/>
        </w:rPr>
        <w:t>Указанные недостатки относятся непосредственно к предмету общественных обсуждений и без их устранения невозможно сделать вывод о соответствии проекта требованиям градостроительного регламента. Иные замечания (по пожарной безопасности, инженерно-геологическим изысканиям, историко-культурной экспертизе) обоснованно отнесены к последующим стадиям проектирования.</w:t>
      </w:r>
    </w:p>
    <w:p>
      <w:pPr>
        <w:pStyle w:val="Dsmarkdownparagraph"/>
        <w:shd w:val="clear" w:color="auto" w:fill="FFFFFF"/>
        <w:spacing w:beforeAutospacing="0" w:before="0" w:afterAutospacing="0" w:after="0"/>
        <w:ind w:firstLine="708"/>
        <w:jc w:val="both"/>
        <w:rPr>
          <w:rFonts w:eastAsia="Lucida Sans Unicode" w:cs="Tahoma"/>
          <w:color w:val="000000"/>
          <w:kern w:val="2"/>
          <w:sz w:val="27"/>
          <w:szCs w:val="27"/>
          <w:lang w:eastAsia="zh-CN" w:bidi="hi-IN"/>
        </w:rPr>
      </w:pPr>
      <w:r>
        <w:rPr>
          <w:rFonts w:eastAsia="Lucida Sans Unicode" w:cs="Tahoma"/>
          <w:color w:val="000000"/>
          <w:kern w:val="2"/>
          <w:sz w:val="27"/>
          <w:szCs w:val="27"/>
          <w:lang w:eastAsia="zh-CN" w:bidi="hi-IN"/>
        </w:rPr>
        <w:t xml:space="preserve">С учетом изложенного, рекомендуется отклонить проект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в отношении земельного участка площадью 2310 кв. м с кадастровым номером 30:12:010407:6, расположенного по адресу: Российская Федерация, Астраханская область, г Астрахань, р-н Кировский, ул Максима Горького/Лейтенанта Шмидта, с установлением следующих значений параметров для объектов нежилого назначения: процент застройки территории — не более 69,8 % от площади земельного участка </w:t>
      </w:r>
      <w:r>
        <w:rPr>
          <w:rFonts w:eastAsia="Lucida Sans Unicode" w:cs="Tahoma"/>
          <w:bCs/>
          <w:color w:val="000000"/>
          <w:kern w:val="2"/>
          <w:sz w:val="27"/>
          <w:szCs w:val="27"/>
          <w:lang w:eastAsia="zh-CN" w:bidi="hi-IN"/>
        </w:rPr>
        <w:t> до устранения заявителем указанных недостатков.</w:t>
      </w:r>
    </w:p>
    <w:p>
      <w:pPr>
        <w:pStyle w:val="Normal"/>
        <w:jc w:val="both"/>
        <w:rPr>
          <w:rFonts w:eastAsia="Symbol"/>
          <w:color w:val="000000"/>
          <w:spacing w:val="-6"/>
          <w:sz w:val="27"/>
          <w:szCs w:val="27"/>
          <w:u w:val="single"/>
        </w:rPr>
      </w:pPr>
      <w:r>
        <w:rPr>
          <w:rFonts w:eastAsia="Symbol"/>
          <w:color w:val="000000"/>
          <w:spacing w:val="-6"/>
          <w:sz w:val="27"/>
          <w:szCs w:val="27"/>
          <w:u w:val="single"/>
        </w:rPr>
      </w:r>
    </w:p>
    <w:p>
      <w:pPr>
        <w:pStyle w:val="Normal"/>
        <w:jc w:val="both"/>
        <w:rPr>
          <w:rFonts w:eastAsia="Symbol"/>
          <w:color w:val="000000"/>
          <w:spacing w:val="-6"/>
          <w:sz w:val="27"/>
          <w:szCs w:val="27"/>
          <w:u w:val="single"/>
        </w:rPr>
      </w:pPr>
      <w:r>
        <w:rPr>
          <w:rFonts w:eastAsia="Symbol"/>
          <w:color w:val="000000"/>
          <w:spacing w:val="-6"/>
          <w:sz w:val="27"/>
          <w:szCs w:val="27"/>
          <w:u w:val="single"/>
        </w:rPr>
      </w:r>
    </w:p>
    <w:p>
      <w:pPr>
        <w:pStyle w:val="Normal"/>
        <w:suppressAutoHyphens w:val="false"/>
        <w:jc w:val="both"/>
        <w:rPr>
          <w:rFonts w:eastAsia="Symbol" w:cs="Times New Roman"/>
          <w:color w:val="000000"/>
          <w:spacing w:val="-4"/>
          <w:sz w:val="26"/>
          <w:szCs w:val="26"/>
        </w:rPr>
      </w:pPr>
      <w:r>
        <w:rPr>
          <w:rFonts w:eastAsia="Symbol" w:cs="Times New Roman"/>
          <w:color w:val="000000"/>
          <w:spacing w:val="-4"/>
          <w:sz w:val="26"/>
          <w:szCs w:val="26"/>
        </w:rPr>
        <w:t>Начальник отдела выдачи</w:t>
      </w:r>
    </w:p>
    <w:p>
      <w:pPr>
        <w:pStyle w:val="Normal"/>
        <w:suppressAutoHyphens w:val="false"/>
        <w:jc w:val="both"/>
        <w:rPr>
          <w:rFonts w:eastAsia="Symbol" w:cs="Times New Roman"/>
          <w:color w:val="000000"/>
          <w:spacing w:val="-4"/>
          <w:sz w:val="26"/>
          <w:szCs w:val="26"/>
        </w:rPr>
      </w:pPr>
      <w:r>
        <w:rPr>
          <w:rFonts w:eastAsia="Symbol" w:cs="Times New Roman"/>
          <w:color w:val="000000"/>
          <w:spacing w:val="-4"/>
          <w:sz w:val="26"/>
          <w:szCs w:val="26"/>
        </w:rPr>
        <w:t>градостроительных планов                                                                               М.О. Герасимов</w:t>
      </w:r>
    </w:p>
    <w:sectPr>
      <w:headerReference w:type="default" r:id="rId2"/>
      <w:type w:val="nextPage"/>
      <w:pgSz w:w="11906" w:h="16838"/>
      <w:pgMar w:left="1701" w:right="566" w:header="708" w:top="1134" w:footer="0" w:bottom="1135" w:gutter="0"/>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swiss"/>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778524745"/>
    </w:sdtPr>
    <w:sdtContent>
      <w:p>
        <w:pPr>
          <w:pStyle w:val="Style24"/>
          <w:jc w:val="center"/>
          <w:rPr>
            <w:b/>
            <w:b/>
          </w:rPr>
        </w:pPr>
        <w:r>
          <w:rPr>
            <w:b/>
          </w:rPr>
          <w:fldChar w:fldCharType="begin"/>
        </w:r>
        <w:r>
          <w:rPr>
            <w:b/>
          </w:rPr>
          <w:instrText> PAGE </w:instrText>
        </w:r>
        <w:r>
          <w:rPr>
            <w:b/>
          </w:rPr>
          <w:fldChar w:fldCharType="separate"/>
        </w:r>
        <w:r>
          <w:rPr>
            <w:b/>
          </w:rPr>
          <w:t>9</w:t>
        </w:r>
        <w:r>
          <w:rPr>
            <w:b/>
          </w:rPr>
          <w:fldChar w:fldCharType="end"/>
        </w:r>
      </w:p>
    </w:sdtContent>
  </w:sdt>
  <w:p>
    <w:pPr>
      <w:pStyle w:val="Style24"/>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0130d"/>
    <w:pPr>
      <w:widowControl w:val="false"/>
      <w:suppressAutoHyphens w:val="true"/>
      <w:bidi w:val="0"/>
      <w:spacing w:lineRule="auto" w:line="240" w:before="0" w:after="0"/>
      <w:jc w:val="left"/>
    </w:pPr>
    <w:rPr>
      <w:rFonts w:ascii="Times New Roman" w:hAnsi="Times New Roman" w:eastAsia="Lucida Sans Unicode" w:cs="Tahoma"/>
      <w:color w:val="auto"/>
      <w:kern w:val="2"/>
      <w:sz w:val="24"/>
      <w:szCs w:val="24"/>
      <w:lang w:eastAsia="zh-CN" w:bidi="hi-IN" w:val="ru-RU"/>
    </w:rPr>
  </w:style>
  <w:style w:type="character" w:styleId="DefaultParagraphFont" w:default="1">
    <w:name w:val="Default Paragraph Font"/>
    <w:uiPriority w:val="1"/>
    <w:semiHidden/>
    <w:unhideWhenUsed/>
    <w:qFormat/>
    <w:rPr/>
  </w:style>
  <w:style w:type="character" w:styleId="Style14" w:customStyle="1">
    <w:name w:val="Основной текст Знак"/>
    <w:basedOn w:val="DefaultParagraphFont"/>
    <w:link w:val="a3"/>
    <w:qFormat/>
    <w:rsid w:val="0010130d"/>
    <w:rPr>
      <w:rFonts w:ascii="Times New Roman" w:hAnsi="Times New Roman" w:eastAsia="Lucida Sans Unicode" w:cs="Tahoma"/>
      <w:kern w:val="2"/>
      <w:sz w:val="24"/>
      <w:szCs w:val="24"/>
      <w:lang w:eastAsia="zh-CN" w:bidi="hi-IN"/>
    </w:rPr>
  </w:style>
  <w:style w:type="character" w:styleId="Style15" w:customStyle="1">
    <w:name w:val="Верхний колонтитул Знак"/>
    <w:basedOn w:val="DefaultParagraphFont"/>
    <w:link w:val="a5"/>
    <w:uiPriority w:val="99"/>
    <w:qFormat/>
    <w:rsid w:val="0010130d"/>
    <w:rPr>
      <w:rFonts w:ascii="Times New Roman" w:hAnsi="Times New Roman" w:eastAsia="Lucida Sans Unicode" w:cs="Mangal"/>
      <w:kern w:val="2"/>
      <w:sz w:val="24"/>
      <w:szCs w:val="21"/>
      <w:lang w:eastAsia="zh-CN" w:bidi="hi-IN"/>
    </w:rPr>
  </w:style>
  <w:style w:type="character" w:styleId="Style16" w:customStyle="1">
    <w:name w:val="Нижний колонтитул Знак"/>
    <w:basedOn w:val="DefaultParagraphFont"/>
    <w:link w:val="a7"/>
    <w:uiPriority w:val="99"/>
    <w:qFormat/>
    <w:rsid w:val="0010130d"/>
    <w:rPr>
      <w:rFonts w:ascii="Times New Roman" w:hAnsi="Times New Roman" w:eastAsia="Lucida Sans Unicode" w:cs="Mangal"/>
      <w:kern w:val="2"/>
      <w:sz w:val="24"/>
      <w:szCs w:val="21"/>
      <w:lang w:eastAsia="zh-CN" w:bidi="hi-IN"/>
    </w:rPr>
  </w:style>
  <w:style w:type="character" w:styleId="Style17" w:customStyle="1">
    <w:name w:val="Текст выноски Знак"/>
    <w:basedOn w:val="DefaultParagraphFont"/>
    <w:link w:val="a9"/>
    <w:uiPriority w:val="99"/>
    <w:semiHidden/>
    <w:qFormat/>
    <w:rsid w:val="001e17b6"/>
    <w:rPr>
      <w:rFonts w:ascii="Tahoma" w:hAnsi="Tahoma" w:eastAsia="Lucida Sans Unicode" w:cs="Mangal"/>
      <w:kern w:val="2"/>
      <w:sz w:val="16"/>
      <w:szCs w:val="14"/>
      <w:lang w:eastAsia="zh-CN" w:bidi="hi-IN"/>
    </w:rPr>
  </w:style>
  <w:style w:type="character" w:styleId="Strong">
    <w:name w:val="Strong"/>
    <w:basedOn w:val="DefaultParagraphFont"/>
    <w:uiPriority w:val="22"/>
    <w:qFormat/>
    <w:rsid w:val="00142660"/>
    <w:rPr>
      <w:b/>
      <w:bCs/>
    </w:rPr>
  </w:style>
  <w:style w:type="paragraph" w:styleId="Style18">
    <w:name w:val="Заголовок"/>
    <w:basedOn w:val="Normal"/>
    <w:next w:val="Style19"/>
    <w:qFormat/>
    <w:pPr>
      <w:keepNext w:val="true"/>
      <w:spacing w:before="240" w:after="120"/>
    </w:pPr>
    <w:rPr>
      <w:rFonts w:ascii="Liberation Sans" w:hAnsi="Liberation Sans" w:eastAsia="Microsoft YaHei" w:cs="Lucida Sans"/>
      <w:sz w:val="28"/>
      <w:szCs w:val="28"/>
    </w:rPr>
  </w:style>
  <w:style w:type="paragraph" w:styleId="Style19">
    <w:name w:val="Body Text"/>
    <w:basedOn w:val="Normal"/>
    <w:link w:val="a4"/>
    <w:rsid w:val="0010130d"/>
    <w:pPr>
      <w:spacing w:before="0" w:after="120"/>
    </w:pPr>
    <w:rPr/>
  </w:style>
  <w:style w:type="paragraph" w:styleId="Style20">
    <w:name w:val="List"/>
    <w:basedOn w:val="Style19"/>
    <w:pPr/>
    <w:rPr>
      <w:rFonts w:cs="Lucida Sans"/>
    </w:rPr>
  </w:style>
  <w:style w:type="paragraph" w:styleId="Style21">
    <w:name w:val="Caption"/>
    <w:basedOn w:val="Normal"/>
    <w:qFormat/>
    <w:pPr>
      <w:suppressLineNumbers/>
      <w:spacing w:before="120" w:after="120"/>
    </w:pPr>
    <w:rPr>
      <w:rFonts w:cs="Lucida Sans"/>
      <w:i/>
      <w:iCs/>
      <w:sz w:val="24"/>
      <w:szCs w:val="24"/>
    </w:rPr>
  </w:style>
  <w:style w:type="paragraph" w:styleId="Style22">
    <w:name w:val="Указатель"/>
    <w:basedOn w:val="Normal"/>
    <w:qFormat/>
    <w:pPr>
      <w:suppressLineNumbers/>
    </w:pPr>
    <w:rPr>
      <w:rFonts w:cs="Lucida Sans"/>
    </w:rPr>
  </w:style>
  <w:style w:type="paragraph" w:styleId="Style23">
    <w:name w:val="Верхний и нижний колонтитулы"/>
    <w:basedOn w:val="Normal"/>
    <w:qFormat/>
    <w:pPr/>
    <w:rPr/>
  </w:style>
  <w:style w:type="paragraph" w:styleId="Style24">
    <w:name w:val="Header"/>
    <w:basedOn w:val="Normal"/>
    <w:link w:val="a6"/>
    <w:uiPriority w:val="99"/>
    <w:unhideWhenUsed/>
    <w:rsid w:val="0010130d"/>
    <w:pPr>
      <w:tabs>
        <w:tab w:val="clear" w:pos="708"/>
        <w:tab w:val="center" w:pos="4677" w:leader="none"/>
        <w:tab w:val="right" w:pos="9355" w:leader="none"/>
      </w:tabs>
    </w:pPr>
    <w:rPr>
      <w:rFonts w:cs="Mangal"/>
      <w:szCs w:val="21"/>
    </w:rPr>
  </w:style>
  <w:style w:type="paragraph" w:styleId="Style25">
    <w:name w:val="Footer"/>
    <w:basedOn w:val="Normal"/>
    <w:link w:val="a8"/>
    <w:uiPriority w:val="99"/>
    <w:unhideWhenUsed/>
    <w:rsid w:val="0010130d"/>
    <w:pPr>
      <w:tabs>
        <w:tab w:val="clear" w:pos="708"/>
        <w:tab w:val="center" w:pos="4677" w:leader="none"/>
        <w:tab w:val="right" w:pos="9355" w:leader="none"/>
      </w:tabs>
    </w:pPr>
    <w:rPr>
      <w:rFonts w:cs="Mangal"/>
      <w:szCs w:val="21"/>
    </w:rPr>
  </w:style>
  <w:style w:type="paragraph" w:styleId="BalloonText">
    <w:name w:val="Balloon Text"/>
    <w:basedOn w:val="Normal"/>
    <w:link w:val="aa"/>
    <w:uiPriority w:val="99"/>
    <w:semiHidden/>
    <w:unhideWhenUsed/>
    <w:qFormat/>
    <w:rsid w:val="001e17b6"/>
    <w:pPr/>
    <w:rPr>
      <w:rFonts w:ascii="Tahoma" w:hAnsi="Tahoma" w:cs="Mangal"/>
      <w:sz w:val="16"/>
      <w:szCs w:val="14"/>
    </w:rPr>
  </w:style>
  <w:style w:type="paragraph" w:styleId="Style26" w:customStyle="1">
    <w:name w:val="Содержимое таблицы"/>
    <w:basedOn w:val="Normal"/>
    <w:qFormat/>
    <w:rsid w:val="004566d7"/>
    <w:pPr>
      <w:suppressLineNumbers/>
    </w:pPr>
    <w:rPr/>
  </w:style>
  <w:style w:type="paragraph" w:styleId="ConsPlusNormal" w:customStyle="1">
    <w:name w:val="ConsPlusNormal"/>
    <w:qFormat/>
    <w:rsid w:val="00316599"/>
    <w:pPr>
      <w:widowControl w:val="false"/>
      <w:bidi w:val="0"/>
      <w:spacing w:lineRule="auto" w:line="240" w:before="0" w:after="0"/>
      <w:jc w:val="left"/>
    </w:pPr>
    <w:rPr>
      <w:rFonts w:ascii="Calibri" w:hAnsi="Calibri" w:eastAsia="" w:cs="Calibri" w:eastAsiaTheme="minorEastAsia"/>
      <w:color w:val="auto"/>
      <w:kern w:val="0"/>
      <w:sz w:val="24"/>
      <w:szCs w:val="22"/>
      <w:lang w:eastAsia="ru-RU" w:val="ru-RU" w:bidi="ar-SA"/>
    </w:rPr>
  </w:style>
  <w:style w:type="paragraph" w:styleId="ListParagraph">
    <w:name w:val="List Paragraph"/>
    <w:basedOn w:val="Normal"/>
    <w:uiPriority w:val="34"/>
    <w:qFormat/>
    <w:rsid w:val="00543e56"/>
    <w:pPr>
      <w:spacing w:before="0" w:after="0"/>
      <w:ind w:left="720" w:hanging="0"/>
      <w:contextualSpacing/>
    </w:pPr>
    <w:rPr>
      <w:rFonts w:cs="Mangal"/>
      <w:szCs w:val="21"/>
    </w:rPr>
  </w:style>
  <w:style w:type="paragraph" w:styleId="Dsmarkdownparagraph" w:customStyle="1">
    <w:name w:val="ds-markdown-paragraph"/>
    <w:basedOn w:val="Normal"/>
    <w:qFormat/>
    <w:rsid w:val="00142660"/>
    <w:pPr>
      <w:widowControl/>
      <w:suppressAutoHyphens w:val="false"/>
      <w:spacing w:beforeAutospacing="1" w:afterAutospacing="1"/>
    </w:pPr>
    <w:rPr>
      <w:rFonts w:eastAsia="Times New Roman" w:cs="Times New Roman"/>
      <w:kern w:val="0"/>
      <w:lang w:eastAsia="ru-RU" w:bidi="ar-SA"/>
    </w:rPr>
  </w:style>
  <w:style w:type="paragraph" w:styleId="Western" w:customStyle="1">
    <w:name w:val="western"/>
    <w:basedOn w:val="Normal"/>
    <w:qFormat/>
    <w:rsid w:val="00f0653c"/>
    <w:pPr>
      <w:widowControl/>
      <w:suppressAutoHyphens w:val="false"/>
      <w:spacing w:beforeAutospacing="1" w:after="119"/>
    </w:pPr>
    <w:rPr>
      <w:rFonts w:eastAsia="Times New Roman" w:cs="Times New Roman"/>
      <w:color w:val="000000"/>
      <w:kern w:val="0"/>
      <w:lang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2EFF3-484F-4DFC-8B50-DC2EBA032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Application>LibreOffice/6.4.3.2$Windows_X86_64 LibreOffice_project/747b5d0ebf89f41c860ec2a39efd7cb15b54f2d8</Application>
  <Pages>11</Pages>
  <Words>3928</Words>
  <Characters>28413</Characters>
  <CharactersWithSpaces>32455</CharactersWithSpaces>
  <Paragraphs>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2026-06-29T07:54:00Z</dcterms:created>
  <dc:creator>Ирина Савельева</dc:creator>
  <dc:description/>
  <dc:language>ru-RU</dc:language>
  <cp:lastModifiedBy/>
  <cp:lastPrinted>2026-08-31T10:43:21Z</cp:lastPrinted>
  <dcterms:modified xsi:type="dcterms:W3CDTF">2026-08-31T10:44:59Z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