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AC3" w:rsidRPr="00130AC3" w:rsidRDefault="00130AC3" w:rsidP="00130AC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0AC3">
        <w:rPr>
          <w:rFonts w:ascii="Times New Roman" w:eastAsia="Times New Roman" w:hAnsi="Times New Roman" w:cs="Times New Roman"/>
          <w:b/>
          <w:sz w:val="28"/>
          <w:szCs w:val="28"/>
        </w:rPr>
        <w:t>Итоги</w:t>
      </w:r>
    </w:p>
    <w:p w:rsidR="00130AC3" w:rsidRPr="00130AC3" w:rsidRDefault="00130AC3" w:rsidP="00130AC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0AC3">
        <w:rPr>
          <w:rFonts w:ascii="Times New Roman" w:eastAsia="Times New Roman" w:hAnsi="Times New Roman" w:cs="Times New Roman"/>
          <w:b/>
          <w:sz w:val="28"/>
          <w:szCs w:val="28"/>
        </w:rPr>
        <w:t>социально-экономического развития муниципального образования «Город Астрахань» за 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полугодие </w:t>
      </w:r>
      <w:r w:rsidRPr="00130AC3">
        <w:rPr>
          <w:rFonts w:ascii="Times New Roman" w:eastAsia="Times New Roman" w:hAnsi="Times New Roman" w:cs="Times New Roman"/>
          <w:b/>
          <w:sz w:val="28"/>
          <w:szCs w:val="28"/>
        </w:rPr>
        <w:t xml:space="preserve"> 2013 года</w:t>
      </w:r>
    </w:p>
    <w:p w:rsidR="00130AC3" w:rsidRPr="00130AC3" w:rsidRDefault="00130AC3" w:rsidP="00130AC3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9628" w:type="dxa"/>
        <w:jc w:val="center"/>
        <w:tblLayout w:type="fixed"/>
        <w:tblCellMar>
          <w:left w:w="71" w:type="dxa"/>
          <w:right w:w="71" w:type="dxa"/>
        </w:tblCellMar>
        <w:tblLook w:val="0000"/>
      </w:tblPr>
      <w:tblGrid>
        <w:gridCol w:w="6542"/>
        <w:gridCol w:w="1467"/>
        <w:gridCol w:w="1619"/>
      </w:tblGrid>
      <w:tr w:rsidR="00130AC3" w:rsidRPr="00130AC3" w:rsidTr="0072486B">
        <w:trPr>
          <w:trHeight w:val="1063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30AC3" w:rsidRPr="00130AC3" w:rsidRDefault="00130AC3" w:rsidP="00130AC3">
            <w:pPr>
              <w:suppressLineNumbers/>
              <w:suppressAutoHyphens/>
              <w:snapToGri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1 полугодие</w:t>
            </w:r>
            <w:r w:rsidRPr="00130A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2013 года млн. руб.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130A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Темп </w:t>
            </w:r>
            <w:proofErr w:type="gramStart"/>
            <w:r w:rsidRPr="00130A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</w:t>
            </w:r>
            <w:proofErr w:type="gramEnd"/>
            <w:r w:rsidRPr="00130A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</w:t>
            </w:r>
          </w:p>
          <w:p w:rsidR="00130AC3" w:rsidRPr="00130AC3" w:rsidRDefault="00130AC3" w:rsidP="00130AC3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1 полугодие</w:t>
            </w:r>
            <w:r w:rsidRPr="00130AC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 xml:space="preserve"> 2012 года, %</w:t>
            </w:r>
          </w:p>
        </w:tc>
      </w:tr>
      <w:tr w:rsidR="00130AC3" w:rsidRPr="00130AC3" w:rsidTr="0072486B">
        <w:trPr>
          <w:trHeight w:val="34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Индекс промышленного производства</w:t>
            </w:r>
            <w:proofErr w:type="gram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, (%)</w:t>
            </w:r>
            <w:proofErr w:type="gramEnd"/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tabs>
                <w:tab w:val="left" w:pos="834"/>
              </w:tabs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145</w:t>
            </w: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30AC3" w:rsidRPr="00130AC3" w:rsidTr="0072486B">
        <w:trPr>
          <w:trHeight w:val="34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добыча полезных ископаемых</w:t>
            </w: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tabs>
                <w:tab w:val="left" w:pos="834"/>
              </w:tabs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175,2</w:t>
            </w:r>
          </w:p>
        </w:tc>
      </w:tr>
      <w:tr w:rsidR="00130AC3" w:rsidRPr="00130AC3" w:rsidTr="0072486B">
        <w:trPr>
          <w:trHeight w:val="34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обрабатывающие производства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napToGri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napToGri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104,2</w:t>
            </w:r>
          </w:p>
        </w:tc>
      </w:tr>
      <w:tr w:rsidR="00130AC3" w:rsidRPr="00130AC3" w:rsidTr="0072486B">
        <w:trPr>
          <w:trHeight w:val="34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производство и распределение электроэнергии, газа и воды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napToGri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napToGri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9,5</w:t>
            </w:r>
          </w:p>
        </w:tc>
      </w:tr>
      <w:tr w:rsidR="00130AC3" w:rsidRPr="00130AC3" w:rsidTr="0072486B">
        <w:trPr>
          <w:trHeight w:val="684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отгруженных товаров собственного производства, выполненных работ и услуг собственными силами («чистым») в фактических ценах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57146,1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tabs>
                <w:tab w:val="left" w:pos="834"/>
                <w:tab w:val="left" w:pos="922"/>
                <w:tab w:val="left" w:pos="1397"/>
              </w:tabs>
              <w:spacing w:after="0" w:line="240" w:lineRule="auto"/>
              <w:ind w:right="17"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136,2</w:t>
            </w:r>
          </w:p>
        </w:tc>
      </w:tr>
      <w:tr w:rsidR="00130AC3" w:rsidRPr="00130AC3" w:rsidTr="0072486B">
        <w:trPr>
          <w:trHeight w:val="319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добыча полезных ископаемых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72486B" w:rsidP="00724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486B">
              <w:rPr>
                <w:rFonts w:ascii="Times New Roman" w:eastAsia="Times New Roman" w:hAnsi="Times New Roman" w:cs="Times New Roman"/>
                <w:sz w:val="28"/>
                <w:szCs w:val="28"/>
              </w:rPr>
              <w:t>37384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2486B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tabs>
                <w:tab w:val="left" w:pos="834"/>
                <w:tab w:val="left" w:pos="922"/>
                <w:tab w:val="left" w:pos="1397"/>
              </w:tabs>
              <w:spacing w:after="0" w:line="240" w:lineRule="auto"/>
              <w:ind w:right="17"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72486B">
              <w:rPr>
                <w:rFonts w:ascii="Times New Roman" w:eastAsia="Times New Roman" w:hAnsi="Times New Roman" w:cs="Times New Roman"/>
                <w:sz w:val="28"/>
                <w:szCs w:val="28"/>
              </w:rPr>
              <w:t>59,8</w:t>
            </w:r>
          </w:p>
        </w:tc>
      </w:tr>
      <w:tr w:rsidR="00130AC3" w:rsidRPr="00130AC3" w:rsidTr="0072486B">
        <w:trPr>
          <w:trHeight w:val="307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обрабатывающие производства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CC7217" w:rsidP="00CC72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7217">
              <w:rPr>
                <w:rFonts w:ascii="Times New Roman" w:eastAsia="Times New Roman" w:hAnsi="Times New Roman" w:cs="Times New Roman"/>
                <w:sz w:val="28"/>
                <w:szCs w:val="28"/>
              </w:rPr>
              <w:t>13195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CC7217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107,6</w:t>
            </w:r>
          </w:p>
        </w:tc>
      </w:tr>
      <w:tr w:rsidR="00130AC3" w:rsidRPr="00130AC3" w:rsidTr="0072486B">
        <w:trPr>
          <w:trHeight w:val="27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производство и распределение электроэнергии, газа и воды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CC7217" w:rsidP="00CC72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7217">
              <w:rPr>
                <w:rFonts w:ascii="Times New Roman" w:eastAsia="Times New Roman" w:hAnsi="Times New Roman" w:cs="Times New Roman"/>
                <w:sz w:val="28"/>
                <w:szCs w:val="28"/>
              </w:rPr>
              <w:t>6566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CC7217" w:rsidP="00CC7217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104,5</w:t>
            </w:r>
          </w:p>
        </w:tc>
      </w:tr>
      <w:tr w:rsidR="00130AC3" w:rsidRPr="00130AC3" w:rsidTr="0072486B">
        <w:trPr>
          <w:trHeight w:val="270"/>
          <w:tblHeader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Инвестиции в основной капитал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38802,9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81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в 2р.</w:t>
            </w:r>
          </w:p>
        </w:tc>
      </w:tr>
      <w:tr w:rsidR="00130AC3" w:rsidRPr="00130AC3" w:rsidTr="0072486B">
        <w:trPr>
          <w:trHeight w:val="505"/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работ, выполненных по виду деятельности «строительство» (по крупным и средним предприятиям)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9207,3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8,8р.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 в действие жилых домов, (тыс. кв. м) 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98,2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133,1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Оборот розничной торговли (по кругу отчитывающихся предприятий)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20161,4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05,1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Оборот общественного питания (по кругу отчитывающихся предприятий)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81649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1020,5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105,6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платных услуг (по крупным и средним предприятиям)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8548,0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99,4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Номинальная среднемесячная заработная плата (по крупным и средним предприятиям), руб.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26094,6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816495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116,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Уровень зарегистрированной безработицы на конец периода</w:t>
            </w:r>
            <w:proofErr w:type="gram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, (</w:t>
            </w: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%)</w:t>
            </w:r>
            <w:proofErr w:type="gramEnd"/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816495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0,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proofErr w:type="spellEnd"/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Коэффициент рождаемости, человек на 1000 населения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13,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102,3</w:t>
            </w:r>
          </w:p>
        </w:tc>
      </w:tr>
      <w:tr w:rsidR="00130AC3" w:rsidRPr="00130AC3" w:rsidTr="0072486B">
        <w:trPr>
          <w:jc w:val="center"/>
        </w:trPr>
        <w:tc>
          <w:tcPr>
            <w:tcW w:w="6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130AC3" w:rsidRPr="00130AC3" w:rsidRDefault="00130AC3" w:rsidP="00130A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Коэффициент смертности, человек на 1000 населения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30AC3" w:rsidRPr="00130AC3" w:rsidRDefault="00130AC3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12,</w:t>
            </w:r>
            <w:r w:rsidR="0081649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0AC3" w:rsidRPr="00130AC3" w:rsidRDefault="00816495" w:rsidP="00130AC3">
            <w:pPr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</w:t>
            </w:r>
            <w:r w:rsidR="00130AC3" w:rsidRPr="00130AC3">
              <w:rPr>
                <w:rFonts w:ascii="Times New Roman" w:eastAsia="Times New Roman" w:hAnsi="Times New Roman" w:cs="Times New Roman"/>
                <w:sz w:val="28"/>
                <w:szCs w:val="28"/>
              </w:rPr>
              <w:t>,0</w:t>
            </w:r>
          </w:p>
        </w:tc>
      </w:tr>
    </w:tbl>
    <w:p w:rsidR="009835E2" w:rsidRDefault="009835E2"/>
    <w:p w:rsidR="00C4322C" w:rsidRDefault="00C4322C">
      <w:r>
        <w:br w:type="page"/>
      </w: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Промышленное производство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За 1 </w:t>
      </w:r>
      <w:r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полугодие 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2013 года  всеми предприятиями города отгружено товаров собственного производства, выполнено работ и услуг по чистым видам деятельности на сумму </w:t>
      </w:r>
      <w:r>
        <w:rPr>
          <w:rFonts w:ascii="Times New Roman" w:eastAsia="Times New Roman" w:hAnsi="Times New Roman" w:cs="Times New Roman"/>
          <w:sz w:val="28"/>
          <w:szCs w:val="20"/>
          <w:lang w:eastAsia="ar-SA"/>
        </w:rPr>
        <w:t>57146,1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млн. рублей, что по отношению к соответствующему периоду 2012 года в д</w:t>
      </w:r>
      <w:r>
        <w:rPr>
          <w:rFonts w:ascii="Times New Roman" w:eastAsia="Times New Roman" w:hAnsi="Times New Roman" w:cs="Times New Roman"/>
          <w:sz w:val="28"/>
          <w:szCs w:val="20"/>
          <w:lang w:eastAsia="ar-SA"/>
        </w:rPr>
        <w:t>ействующих ценах составило 136,2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%.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По итогам января - июня 2013 года наибольший удельный вес – 65,4% в объеме отгруженных товаров собственного производства, выполненных работ и услуг приходится на предприятия по добыче полезных ископаемых, что обусловлено увеличением объемов добыч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и ООО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«</w:t>
      </w:r>
      <w:proofErr w:type="spellStart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ЛУКОЙЛ-Нижневолжскнефть</w:t>
      </w:r>
      <w:proofErr w:type="spellEnd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» на месторождении им.Ю.Корчагина и началом разработки второго месторождения им. Владимира </w:t>
      </w:r>
      <w:proofErr w:type="spellStart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Филановского</w:t>
      </w:r>
      <w:proofErr w:type="spellEnd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на шельфе Каспия.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На  долю предприятий обрабатывающих произво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дств пр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иходится 23,1%, а удельный вес предприятий занимающихся  производством, передачей и распределением электроэнергии, газа и воды в общих объемах отгрузки составила 11,5%. 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Ин</w:t>
      </w:r>
      <w:r w:rsidR="004075E1">
        <w:rPr>
          <w:rFonts w:ascii="Times New Roman" w:eastAsia="Times New Roman" w:hAnsi="Times New Roman" w:cs="Times New Roman"/>
          <w:sz w:val="28"/>
          <w:szCs w:val="20"/>
          <w:lang w:eastAsia="ar-SA"/>
        </w:rPr>
        <w:t>декс промышленного производства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за 1 полугодие  2013 года составил 145,7%. По видам экономической деятельности индекс промышленного производства сложился следующим образом:</w:t>
      </w:r>
    </w:p>
    <w:p w:rsidR="00C4322C" w:rsidRPr="00C4322C" w:rsidRDefault="00C4322C" w:rsidP="00C4322C">
      <w:pPr>
        <w:widowControl w:val="0"/>
        <w:numPr>
          <w:ilvl w:val="0"/>
          <w:numId w:val="1"/>
        </w:numPr>
        <w:tabs>
          <w:tab w:val="clear" w:pos="1260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добыча полезных ископаемых –175,2%;  </w:t>
      </w:r>
    </w:p>
    <w:p w:rsidR="00C4322C" w:rsidRPr="00C4322C" w:rsidRDefault="00C4322C" w:rsidP="00C4322C">
      <w:pPr>
        <w:widowControl w:val="0"/>
        <w:numPr>
          <w:ilvl w:val="0"/>
          <w:numId w:val="1"/>
        </w:numPr>
        <w:tabs>
          <w:tab w:val="clear" w:pos="1260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обрабатывающие производства – 104,2%;</w:t>
      </w:r>
    </w:p>
    <w:p w:rsidR="00C4322C" w:rsidRPr="00C4322C" w:rsidRDefault="00C4322C" w:rsidP="00C4322C">
      <w:pPr>
        <w:widowControl w:val="0"/>
        <w:numPr>
          <w:ilvl w:val="0"/>
          <w:numId w:val="1"/>
        </w:numPr>
        <w:tabs>
          <w:tab w:val="clear" w:pos="1260"/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производство и распределение электроэнергии, газа и воды –99,5 %.</w:t>
      </w:r>
    </w:p>
    <w:p w:rsidR="00C4322C" w:rsidRPr="00D04A3E" w:rsidRDefault="00C4322C" w:rsidP="00C4322C">
      <w:pPr>
        <w:pStyle w:val="a3"/>
      </w:pPr>
      <w:r w:rsidRPr="00D04A3E">
        <w:t>В отчетном периоде из 42 важнейших видов продукции, выпускаемой промышленностью города, наибольший рост наблюдается в производстве муки из зерновых и зернобобовых культур  (в 1,6 раза), ящиков из гофрированного картона  (в 1,6 раза),  ткани из стекловолокна (в 1,5 раза),</w:t>
      </w:r>
      <w:r w:rsidRPr="00D04A3E">
        <w:rPr>
          <w:szCs w:val="28"/>
        </w:rPr>
        <w:t xml:space="preserve"> </w:t>
      </w:r>
      <w:r>
        <w:rPr>
          <w:szCs w:val="28"/>
        </w:rPr>
        <w:t xml:space="preserve">комбикормов </w:t>
      </w:r>
      <w:r w:rsidRPr="00D04A3E">
        <w:rPr>
          <w:szCs w:val="28"/>
        </w:rPr>
        <w:t xml:space="preserve"> (в 1,4 раза),  </w:t>
      </w:r>
      <w:r w:rsidRPr="00D04A3E">
        <w:t>сыра и творога,</w:t>
      </w:r>
      <w:r w:rsidRPr="00D04A3E">
        <w:rPr>
          <w:szCs w:val="28"/>
        </w:rPr>
        <w:t xml:space="preserve"> </w:t>
      </w:r>
      <w:r w:rsidRPr="00D04A3E">
        <w:t>станков металлорежущих</w:t>
      </w:r>
      <w:r w:rsidRPr="00D04A3E">
        <w:rPr>
          <w:szCs w:val="28"/>
        </w:rPr>
        <w:t>,</w:t>
      </w:r>
      <w:r w:rsidRPr="00D04A3E">
        <w:t xml:space="preserve"> о</w:t>
      </w:r>
      <w:r w:rsidRPr="00D04A3E">
        <w:rPr>
          <w:szCs w:val="28"/>
        </w:rPr>
        <w:t>кон и их коробок, подоконников полимерных (в 1,3 раза),</w:t>
      </w:r>
      <w:r w:rsidRPr="00D04A3E">
        <w:t xml:space="preserve"> </w:t>
      </w:r>
      <w:r w:rsidRPr="00D04A3E">
        <w:rPr>
          <w:szCs w:val="28"/>
        </w:rPr>
        <w:t>нефт</w:t>
      </w:r>
      <w:r>
        <w:rPr>
          <w:szCs w:val="28"/>
        </w:rPr>
        <w:t>и добытой</w:t>
      </w:r>
      <w:r w:rsidRPr="00D04A3E">
        <w:rPr>
          <w:szCs w:val="28"/>
        </w:rPr>
        <w:t>, включая газовый конденсат,</w:t>
      </w:r>
      <w:r w:rsidRPr="00D04A3E">
        <w:t xml:space="preserve"> в</w:t>
      </w:r>
      <w:r w:rsidRPr="00D04A3E">
        <w:rPr>
          <w:szCs w:val="28"/>
        </w:rPr>
        <w:t>од минеральных(в 1,2 раза)</w:t>
      </w:r>
      <w:r w:rsidRPr="00D04A3E">
        <w:t xml:space="preserve">. </w:t>
      </w:r>
    </w:p>
    <w:p w:rsidR="00C4322C" w:rsidRPr="00D04A3E" w:rsidRDefault="00C4322C" w:rsidP="00C4322C">
      <w:pPr>
        <w:pStyle w:val="a3"/>
        <w:rPr>
          <w:szCs w:val="28"/>
        </w:rPr>
      </w:pPr>
      <w:r w:rsidRPr="00D04A3E">
        <w:rPr>
          <w:szCs w:val="28"/>
        </w:rPr>
        <w:t>Из основных видов продукции в 1 полугодии 2013 года значительнее всего снижено производство кислорода (на 55,6%), мяса и субпродуктов (на 49,2%), трикотажных изделий ( на  33,4 %), столов кухонных, для столовой и гостиной (на 33,2%), шкафов кухонных, для спальни, столовой и гостиной (на 26,8%),</w:t>
      </w:r>
      <w:r w:rsidRPr="00D04A3E">
        <w:t xml:space="preserve"> в</w:t>
      </w:r>
      <w:r>
        <w:rPr>
          <w:szCs w:val="28"/>
        </w:rPr>
        <w:t xml:space="preserve">одки и ликероводочных изделий </w:t>
      </w:r>
      <w:r w:rsidRPr="00D04A3E">
        <w:rPr>
          <w:szCs w:val="28"/>
        </w:rPr>
        <w:t xml:space="preserve">(на 25,1%), хлеба и хлебобулочных изделий (на 16,3%).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t>Потребительский рынок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Позитивное развитие экономики города, а также поступление на рынок отечественных и импортных товаров в объемах, соответствующих платежеспособному спросу астраханцев, способствовали продолжающейся стабильности на потребительском рынке города.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 итогам 1 полугодия 2013 года заметен рост всех показателей  основных сегментов потребительского рынка. Так, оборот розничной </w:t>
      </w: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торговли и оборот общественного питания по кругу отчитывающихся предприятий составил 105,1% и 105,6% соответственно к уровню предыдущего года. Платных услуг населению крупными и средними организациями оказано на уровне аналогичного периода предыдущего года.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Оборот  розничной торговли за счет всех каналов реализации в отчетном периоде на 95,1% формировался торгующими организациями и индивидуальными предпринимателями, осуществляющими деятельность в стационарной торговле; доля розничных рынков и ярмарок составила 4,9% (в 1 полугодии 2012 года, соответственно, 94,3% и 5,7%). Торговые процессы были обеспечены широким ассортиментом товаров, гибкой ценовой политикой с предоставлением скидок и проведением распродаж, повышением уровня торговых технологий и улучшением комфортных условий обслуживания потребителя.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В товарной структуре оборота розничной торговли за счет всех каналов реализации, являющейся индикатором потребительских предпочтений, продолжают преобладать непродовольственные    товары,     которые   составили    62,7%   (61,9%    в    январе-июне 2012 года).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На крупных и средних предприятиях розничной торговли в за 1 полугодие 2013 года численность работающих увеличилась на 8,7%.</w:t>
      </w: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t>Строительство</w:t>
      </w: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color w:val="000000"/>
          <w:sz w:val="28"/>
          <w:szCs w:val="20"/>
        </w:rPr>
      </w:pP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 xml:space="preserve">За 1 полугодие 2013 года </w:t>
      </w:r>
      <w:r w:rsidRPr="00C4322C">
        <w:rPr>
          <w:rFonts w:ascii="Times New Roman" w:eastAsia="MS Mincho" w:hAnsi="Times New Roman" w:cs="Times New Roman"/>
          <w:b/>
          <w:color w:val="000000"/>
          <w:sz w:val="28"/>
          <w:szCs w:val="20"/>
        </w:rPr>
        <w:t>объем инвестиций</w:t>
      </w: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 xml:space="preserve"> в основной капитал  составил 38802,9  млн. руб. что в 2 раза больше, чем за аналогичный период 2012 года.</w:t>
      </w:r>
      <w:r w:rsidRPr="00C432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color w:val="000000"/>
          <w:sz w:val="28"/>
          <w:szCs w:val="20"/>
        </w:rPr>
      </w:pP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 xml:space="preserve">Строительными организациями за январь-июнь 2013 года  выполнены работы по виду деятельности </w:t>
      </w:r>
      <w:r w:rsidRPr="00C4322C">
        <w:rPr>
          <w:rFonts w:ascii="Times New Roman" w:eastAsia="MS Mincho" w:hAnsi="Times New Roman" w:cs="Times New Roman"/>
          <w:b/>
          <w:color w:val="000000"/>
          <w:sz w:val="28"/>
          <w:szCs w:val="20"/>
        </w:rPr>
        <w:t>«строительство»</w:t>
      </w: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 xml:space="preserve"> (по крупным и средним предприятиям) в объеме 9207,3 млн. руб., что в 8,8 раза больше  чем в январе-июне  2012 года.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color w:val="000000"/>
          <w:sz w:val="28"/>
          <w:szCs w:val="20"/>
        </w:rPr>
      </w:pP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>В 1 полугодии 2013 года организациями всех форм собственности и индивидуальными застройщиками за счет нового строительства, расширения и реконструкции  введено жилье общей площадью 98,2 тыс. м</w:t>
      </w:r>
      <w:proofErr w:type="gramStart"/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>2</w:t>
      </w:r>
      <w:proofErr w:type="gramEnd"/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 xml:space="preserve">, что на 33,1 % выше уровня соответствующего периода 2012 года. В общем объеме введенного жилья области удельный вес застройщиков города составил 58,7%.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color w:val="000000"/>
          <w:sz w:val="28"/>
          <w:szCs w:val="20"/>
        </w:rPr>
      </w:pPr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>В январе-июне 2013 года на территории города 60,8% жилья введено индивидуальными застройщиками. Ими за счет собственных и заемных средств построено жилья общей площадью 59,7 тыс. м</w:t>
      </w:r>
      <w:proofErr w:type="gramStart"/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>2</w:t>
      </w:r>
      <w:proofErr w:type="gramEnd"/>
      <w:r w:rsidRPr="00C4322C">
        <w:rPr>
          <w:rFonts w:ascii="Times New Roman" w:eastAsia="MS Mincho" w:hAnsi="Times New Roman" w:cs="Times New Roman"/>
          <w:color w:val="000000"/>
          <w:sz w:val="28"/>
          <w:szCs w:val="20"/>
        </w:rPr>
        <w:t>, что на 0,7% ниже уровня января-июня 2012 года.</w:t>
      </w:r>
    </w:p>
    <w:p w:rsidR="0021266A" w:rsidRDefault="0021266A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t>Транспорт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C4322C">
        <w:rPr>
          <w:rFonts w:ascii="Times New Roman" w:eastAsia="MS Mincho" w:hAnsi="Times New Roman" w:cs="Times New Roman"/>
          <w:sz w:val="28"/>
          <w:szCs w:val="28"/>
        </w:rPr>
        <w:t>За 1 полугодие 2013 год всеми видами транспорта перевезено 38606,8 тыс. пассажиров, что на 20,3% ниже уровня соответствующего периода 2012 года.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C4322C">
        <w:rPr>
          <w:rFonts w:ascii="Times New Roman" w:eastAsia="MS Mincho" w:hAnsi="Times New Roman" w:cs="Times New Roman"/>
          <w:sz w:val="28"/>
          <w:szCs w:val="28"/>
        </w:rPr>
        <w:lastRenderedPageBreak/>
        <w:t>На городских маршрутах перевозки пассажиров обеспечивает  автомобильный и электрический пассажирский транспорт.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C4322C">
        <w:rPr>
          <w:rFonts w:ascii="Times New Roman" w:eastAsia="MS Mincho" w:hAnsi="Times New Roman" w:cs="Times New Roman"/>
          <w:sz w:val="28"/>
          <w:szCs w:val="28"/>
        </w:rPr>
        <w:t xml:space="preserve">В общем объеме перевозок наибольшую долю занимают перевозки автомобильного транспорта (96,5%). По сравнению с январем-июнем  2012 года этим видом транспорта перевезено пассажиров на 20,7% меньше.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C4322C">
        <w:rPr>
          <w:rFonts w:ascii="Times New Roman" w:eastAsia="MS Mincho" w:hAnsi="Times New Roman" w:cs="Times New Roman"/>
          <w:sz w:val="28"/>
          <w:szCs w:val="28"/>
        </w:rPr>
        <w:t>Объем перевозок, оказанных предпринимателями, за 1 полугодие 2013 года снизился по сравнению с соответствующим периодом 2012 года на 21,8%, ими перевезено 81,2% общего количества автопассажиров.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  <w:u w:val="single"/>
        </w:rPr>
      </w:pPr>
      <w:r w:rsidRPr="00C4322C">
        <w:rPr>
          <w:rFonts w:ascii="Times New Roman" w:eastAsia="MS Mincho" w:hAnsi="Times New Roman" w:cs="Times New Roman"/>
          <w:sz w:val="28"/>
          <w:szCs w:val="28"/>
          <w:u w:val="single"/>
        </w:rPr>
        <w:t xml:space="preserve"> </w:t>
      </w:r>
      <w:r w:rsidRPr="00C4322C">
        <w:rPr>
          <w:rFonts w:ascii="Times New Roman" w:eastAsia="MS Mincho" w:hAnsi="Times New Roman" w:cs="Times New Roman"/>
          <w:sz w:val="28"/>
          <w:szCs w:val="28"/>
        </w:rPr>
        <w:t>Кроме того, автоперевозки осуществляют крупные и средние предприятия, доля которых за отчетный период 2013 года составила 18,7%, что на 15,3% ниже уровня января - июня 2012 года, однако объем перевезенных пассажиров автопредприятиями сократился на 20,7% по сравнению с аналогичным периодом 2012 года.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C4322C">
        <w:rPr>
          <w:rFonts w:ascii="Times New Roman" w:eastAsia="MS Mincho" w:hAnsi="Times New Roman" w:cs="Times New Roman"/>
          <w:sz w:val="28"/>
          <w:szCs w:val="28"/>
        </w:rPr>
        <w:t>Электрическим транспортом снижены объёмы перевозок по сравнению с 1 полугодием 2012 года на 9,1%. Основные причины - изношенный и устаревший парк, наличие более мобильного транспорта автоперевозчиков, а также увеличение количества легкового транспорта у населения города.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C4322C" w:rsidRPr="00C4322C" w:rsidRDefault="00C4322C" w:rsidP="00C4322C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Финансовые результаты деятельности организаций</w:t>
      </w:r>
    </w:p>
    <w:p w:rsidR="00C4322C" w:rsidRPr="00C4322C" w:rsidRDefault="00C4322C" w:rsidP="00C432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Сальдированный финансовый результат сопоставимого круга крупных и средних предприятий г.</w:t>
      </w:r>
      <w:r w:rsidR="002126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8"/>
        </w:rPr>
        <w:t>Астрахани по итогам 6 месяцев 2013 года сложился в виде прибыли в сумме 4837,4 млн.</w:t>
      </w:r>
      <w:r w:rsidR="002126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8"/>
        </w:rPr>
        <w:t>рублей. При этом 124 организации получили прибыль в размере 5964,3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 xml:space="preserve">ублей и 56 – убыток на сумму 1126,9 млн. рублей, за соответствующий период прошлого года эти суммы соответственно составляли  2461 млн. рублей и 4457,8 млн. рублей. Удельный вес прибыльных предприятий по сравнению с январем-июнем 2012 года вырос  на 2,7 п.п. и составил 68,9%, а доля убыточных предприятий снизилась до 31,1%. </w:t>
      </w:r>
    </w:p>
    <w:p w:rsidR="00C4322C" w:rsidRPr="00C4322C" w:rsidRDefault="00C4322C" w:rsidP="00C432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В январе-июне 2013 года улучшены финансовые результаты крупных и средних организаций (по сопоставимому кругу) в сфере предоставления прочих коммунальных, социальных и персональных услуг (прибыль 2,8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против убытка в 25,4 млн.руб. в соответствующем периоде 2012 года).</w:t>
      </w:r>
    </w:p>
    <w:p w:rsidR="00C4322C" w:rsidRPr="00C4322C" w:rsidRDefault="00C4322C" w:rsidP="00C432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Наибольшие суммы прибыли получили рентабельные предприятия и организации: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– обрабатывающих производств – 603,7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10,1% от общей суммы прибыли;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– транспорта и связи – 349,9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5,9%;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– операций с недвижимым имуществом, арендой и предоставлением услуг – 322,4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5,4%.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Наибольшие убытки за январь-июнь 2013 года сложились на крупных и средних предприятиях и организациях: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– транспорта и связи – 326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28,9%  от общей суммы убытка по городу;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lastRenderedPageBreak/>
        <w:t>– строительства – 304,9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27,1%;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– операций с недвижимым имуществом, арендой и предоставлением услуг – 272,6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 или 24,2%.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По итогам января-июня 2013 года, на фоне улучшения финансовых результатов ухудшилась ситуация с задолженностью предприятий. По сравнению с началом года кредиторская задолженность на 01.07.2013г. выросла на 13,5% и составила 62490,9 млн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>уб., а дебиторская за этот период увеличилась на 74,1% и составила 87227,6 млн.руб. При этом неоднозначная ситуация сложилась с просроченной задолженностью: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 xml:space="preserve">- удельный вес просроченной кредиторской задолженности 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8"/>
        </w:rPr>
        <w:t>снизился с начала года и составил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8"/>
        </w:rPr>
        <w:t xml:space="preserve"> 1,4% на конец июня 2013 года;</w:t>
      </w:r>
    </w:p>
    <w:p w:rsidR="00C4322C" w:rsidRPr="00C4322C" w:rsidRDefault="00C4322C" w:rsidP="00C4322C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8"/>
        </w:rPr>
        <w:t>- а доля просроченной дебиторской выросла с начала года до 3,1%.</w:t>
      </w:r>
    </w:p>
    <w:p w:rsidR="00C4322C" w:rsidRPr="00C4322C" w:rsidRDefault="00C4322C" w:rsidP="00C4322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t>Уровень жизни населения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В 1 полугодии 2013 года  продолжился рост основных показателей уровня жизни населения.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Среднемесячная зарплата одного работающего на крупных и средних организациях города за январь-июнь сложилась в размере  26094,6 рублей, что выше уровня соответствующего периода прошлого года на 16,2%, при этом реальная зарплата выросла на 9% к прошлому году. Покупательная способность заработной платы этой категории работающих составила 3,98 набора прожиточного минимума против 3,75 в январе – июне 2012 года. Денежные доходы на душу населения в январе-июне 2013 года составили  26433,4 рублей, увеличившись к аналогичному периоду прошлого года на 19,9%. Реальные доходы по итогам 6 месяцев увеличились на 13% относительно января-июня предыдущего года. Прожиточный минимум населения достиг 6075 рублей  или 108,9% к уровню предыдущего года, трудоспособного – 6558 рублей или 110,1%.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>Средний размер пенсии на 01.07.2013 составил 9520,53 рублей или 109,4% к  уровню аналогичного периода 2012 года. Прожиточный минимум пенсионеров равен 4776 рублей, что на 8,1% выше величины за соответствующий период 2012 года.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</w:t>
      </w:r>
      <w:r w:rsidRPr="00C4322C"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I</w:t>
      </w:r>
      <w:r w:rsidRPr="00C4322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полугодии 2013 году наблюдается некоторый рост потребительских цен по сравнению с соответствующим периодом предыдущего года.  Сводный индекс потребительских цен составил 106,6% против 103,4% в январе-июне 2012 года.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За январь-июнь 2013 года в городе родилось 3472 ребенка, что на 1,9% больше соответствующего периода предыдущего года. Коэффициент рождаемости в расчете на одну тысячу населения составил 13,3  против 13,0 в соответствующем периоде предыдущего года.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В январе-июне 2013 года коэффициент смертности составил 12,1 на тысячу населения против 12,6 в соответствующем периоде предыдущего года. Таким образом, естественный прирост населения в городе составил 1,2 на одну тысячу населения против естественного прироста (0,4) в январе-июне 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lastRenderedPageBreak/>
        <w:t>2012 года.</w:t>
      </w:r>
    </w:p>
    <w:p w:rsidR="00C4322C" w:rsidRPr="00C4322C" w:rsidRDefault="00C4322C" w:rsidP="00C432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ar-SA"/>
        </w:rPr>
      </w:pP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По сравнению с соответствующим периодом предыдущего года отмечено снижение числа браков на 1,7% и увеличение числа разводов на 6,4%. На 1000 образованных брачных пар пришло</w:t>
      </w:r>
      <w:r w:rsidR="0021266A"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>сь</w:t>
      </w:r>
      <w:r w:rsidRPr="00C4322C">
        <w:rPr>
          <w:rFonts w:ascii="Times New Roman" w:eastAsia="Times New Roman" w:hAnsi="Times New Roman" w:cs="Times New Roman"/>
          <w:sz w:val="28"/>
          <w:szCs w:val="20"/>
          <w:lang w:eastAsia="ar-SA"/>
        </w:rPr>
        <w:t xml:space="preserve"> 757 распавшихся против 699 в январе-июне 2012 года.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b/>
          <w:sz w:val="28"/>
          <w:szCs w:val="28"/>
        </w:rPr>
        <w:t>Занятость</w:t>
      </w:r>
    </w:p>
    <w:p w:rsidR="00C4322C" w:rsidRPr="00C4322C" w:rsidRDefault="00C4322C" w:rsidP="00C4322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>За 1 полугодие 2013 года в Центр занятости населения г</w:t>
      </w:r>
      <w:proofErr w:type="gramStart"/>
      <w:r w:rsidRPr="00C4322C">
        <w:rPr>
          <w:rFonts w:ascii="Times New Roman" w:eastAsia="Times New Roman" w:hAnsi="Times New Roman" w:cs="Times New Roman"/>
          <w:sz w:val="28"/>
          <w:szCs w:val="24"/>
        </w:rPr>
        <w:t>.А</w:t>
      </w:r>
      <w:proofErr w:type="gramEnd"/>
      <w:r w:rsidRPr="00C4322C">
        <w:rPr>
          <w:rFonts w:ascii="Times New Roman" w:eastAsia="Times New Roman" w:hAnsi="Times New Roman" w:cs="Times New Roman"/>
          <w:sz w:val="28"/>
          <w:szCs w:val="24"/>
        </w:rPr>
        <w:t>страхани за содействием в трудоустройстве обратилось</w:t>
      </w:r>
      <w:r w:rsidRPr="00C4322C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>6,1 тыс. человек.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 По сравнению с соответствующим периодом прошлого года наблюдается общее снижение численности граждан, ищущих работу на  852 человека (12,3%).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Изменился состав граждан, обратившихся за содействием в трудоустройстве.  </w:t>
      </w:r>
      <w:r w:rsidRPr="00C4322C">
        <w:rPr>
          <w:rFonts w:ascii="Times New Roman" w:eastAsia="Times New Roman" w:hAnsi="Times New Roman" w:cs="Times New Roman"/>
          <w:sz w:val="28"/>
          <w:szCs w:val="24"/>
          <w:u w:val="single"/>
        </w:rPr>
        <w:t>Возросла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  численность детей-сирот, детей, оставшихся без попечения родителей - на 10,7%. Не изменилась численность граждан, предпенсионного возраста (за два года до наступления пенсионного возраста)  и  составила  316 человек.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В то же время </w:t>
      </w:r>
      <w:r w:rsidRPr="00C4322C">
        <w:rPr>
          <w:rFonts w:ascii="Times New Roman" w:eastAsia="Times New Roman" w:hAnsi="Times New Roman" w:cs="Times New Roman"/>
          <w:sz w:val="28"/>
          <w:szCs w:val="24"/>
          <w:u w:val="single"/>
        </w:rPr>
        <w:t>снизилась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 численность обратившихся: уволенных с военной службы - на 39,0%; инвалидов - на 22,9%; стремящихся возобновить трудовую деятельность после длительного (более 1 года) перерыва в работе - на 30,9%;  в возрасте от 18 до 20 лет из числа выпускников учреждений начального и среднего профессионального образования, ищущих работу впервые – на 18,4%; уволенных в связи с ликвидацией организации, либо прекращением деятельности индивидуальным предпринимателем,   сокращением численности или штата работников организации, индивидуального предпринимателя - на 29,2%; граждан в возрасте от 14 до 29 лет - на 16,3%; учащихся, желающих работать в свободное от учебы время - на 3,0%; граждан освобожденных из учреждений, исполняющих наказание в виде лишения свободы - на 10,7%; прекративших индивидуальную предпринимательскую деятельность – на 4,8%.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 Основными мероприятиями по содействию занятости населения, в состав которых входят общественные работы, временная занятость несовершеннолетних, трудоустройство граждан, испытывающих трудности в поиске работы, содействие самозанятости безработных, на 01.07.2013 года охвачено</w:t>
      </w:r>
      <w:r w:rsidRPr="00C4322C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>3913 человек, в т.ч. трудоустроено на временную работу 415 несовершеннолетних подростков. По итогам проведения 20 ярмарок вакансий учебных и рабочих мест   было трудоустроено 127 человек,  и 12 человек  приступили к обучению.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>Коэффициент напряженности на регистрируемом рынке труда по состоянию  на 1 июля 2013 года составил 0,5 (в расчете на одну вакансию).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>По профессиональным группам он различен.</w:t>
      </w:r>
      <w:r w:rsidRPr="00C4322C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>Наиболее высокая напряженность сложилась на рынке труда в группе специалистов и служащих – 0,6 человека на одну вакансию, по рабочим профессиям – 0,4.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lastRenderedPageBreak/>
        <w:t>На 1 июля 2013 года численность безработных граждан составила 1562 человек. Средняя продолжительность безработицы составила 4,8 месяца.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432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4322C">
        <w:rPr>
          <w:rFonts w:ascii="Times New Roman" w:eastAsia="Times New Roman" w:hAnsi="Times New Roman" w:cs="Times New Roman"/>
          <w:sz w:val="28"/>
          <w:szCs w:val="24"/>
        </w:rPr>
        <w:t xml:space="preserve">Уровень регистрируемой безработицы за 1 полугодие 2013 года составил 0,6% к численности экономически активного населения (0,8% за 1 полугодие 2012 года). </w:t>
      </w:r>
    </w:p>
    <w:p w:rsidR="00C4322C" w:rsidRPr="00C4322C" w:rsidRDefault="00C4322C" w:rsidP="00C432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322C">
        <w:rPr>
          <w:rFonts w:ascii="Times New Roman" w:eastAsia="Times New Roman" w:hAnsi="Times New Roman" w:cs="Times New Roman"/>
          <w:sz w:val="28"/>
          <w:szCs w:val="24"/>
        </w:rPr>
        <w:t>Несмотря на избыточное число безработных, спрос работодателей остается неудовлетворенным, что свидетельствует о проблеме несоответствия спроса и предложения рабочей силы.</w:t>
      </w:r>
    </w:p>
    <w:p w:rsidR="00C4322C" w:rsidRDefault="00C4322C"/>
    <w:sectPr w:rsidR="00C4322C" w:rsidSect="00983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0AC3"/>
    <w:rsid w:val="00077078"/>
    <w:rsid w:val="00130AC3"/>
    <w:rsid w:val="0021266A"/>
    <w:rsid w:val="004075E1"/>
    <w:rsid w:val="005E6FCE"/>
    <w:rsid w:val="0072486B"/>
    <w:rsid w:val="00816495"/>
    <w:rsid w:val="009835E2"/>
    <w:rsid w:val="00C4322C"/>
    <w:rsid w:val="00CC7217"/>
    <w:rsid w:val="00E25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5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4322C"/>
    <w:pPr>
      <w:widowControl w:val="0"/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4">
    <w:name w:val="Основной текст Знак"/>
    <w:basedOn w:val="a0"/>
    <w:link w:val="a3"/>
    <w:rsid w:val="00C4322C"/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7</Pages>
  <Words>2123</Words>
  <Characters>12105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Econ71</dc:creator>
  <cp:keywords/>
  <dc:description/>
  <cp:lastModifiedBy>Econ71</cp:lastModifiedBy>
  <cp:revision>10</cp:revision>
  <dcterms:created xsi:type="dcterms:W3CDTF">2013-09-02T08:09:00Z</dcterms:created>
  <dcterms:modified xsi:type="dcterms:W3CDTF">2013-09-03T04:50:00Z</dcterms:modified>
</cp:coreProperties>
</file>