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Default="00D70F2A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D70F2A">
        <w:rPr>
          <w:rFonts w:ascii="Times New Roman" w:hAnsi="Times New Roman"/>
          <w:sz w:val="27"/>
          <w:szCs w:val="27"/>
        </w:rPr>
        <w:t xml:space="preserve">Постановление администрации муниципального образования «Город Астрахань» от 10.08.2015 № 5174 «Об утверждении административного Регламента по предоставлению муниципальной услуги «Перевод жилого помещения в нежилое помещение или нежилого помещения в жилое помещение» с изменениями, внесенными постановлениями администрации муниципального образования «Город Астрахань» от 12.08.2016 № 5314, от 24.10.2017 № 5795, от 10.09.2018  № 535 </w:t>
      </w:r>
      <w:bookmarkEnd w:id="0"/>
      <w:r w:rsidR="00B14BA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D70F2A" w:rsidRPr="00D70F2A">
        <w:rPr>
          <w:rFonts w:ascii="Times New Roman" w:hAnsi="Times New Roman" w:cs="Times New Roman"/>
          <w:sz w:val="28"/>
          <w:szCs w:val="28"/>
        </w:rPr>
        <w:t>17.02.2019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2018-12-04T06:02:00Z</dcterms:created>
  <dcterms:modified xsi:type="dcterms:W3CDTF">2018-12-04T06:02:00Z</dcterms:modified>
</cp:coreProperties>
</file>