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A10" w:rsidRDefault="00E30A10" w:rsidP="00E30A10">
      <w:pPr>
        <w:autoSpaceDE w:val="0"/>
        <w:autoSpaceDN w:val="0"/>
        <w:adjustRightInd w:val="0"/>
        <w:spacing w:after="0" w:line="240" w:lineRule="auto"/>
        <w:rPr>
          <w:rFonts w:ascii="Tahoma" w:hAnsi="Tahoma" w:cs="Tahoma"/>
          <w:sz w:val="20"/>
          <w:szCs w:val="20"/>
        </w:rPr>
      </w:pPr>
      <w:r>
        <w:rPr>
          <w:rFonts w:ascii="Tahoma" w:hAnsi="Tahoma" w:cs="Tahoma"/>
          <w:sz w:val="20"/>
          <w:szCs w:val="20"/>
        </w:rPr>
        <w:t xml:space="preserve">Документ предоставлен </w:t>
      </w:r>
      <w:hyperlink r:id="rId5" w:history="1">
        <w:r>
          <w:rPr>
            <w:rFonts w:ascii="Tahoma" w:hAnsi="Tahoma" w:cs="Tahoma"/>
            <w:color w:val="0000FF"/>
            <w:sz w:val="20"/>
            <w:szCs w:val="20"/>
          </w:rPr>
          <w:t>КонсультантПлюс</w:t>
        </w:r>
      </w:hyperlink>
      <w:r>
        <w:rPr>
          <w:rFonts w:ascii="Tahoma" w:hAnsi="Tahoma" w:cs="Tahoma"/>
          <w:sz w:val="20"/>
          <w:szCs w:val="20"/>
        </w:rPr>
        <w:br/>
      </w:r>
    </w:p>
    <w:p w:rsidR="00E30A10" w:rsidRDefault="00E30A10" w:rsidP="00E30A10">
      <w:pPr>
        <w:autoSpaceDE w:val="0"/>
        <w:autoSpaceDN w:val="0"/>
        <w:adjustRightInd w:val="0"/>
        <w:spacing w:after="0" w:line="240" w:lineRule="auto"/>
        <w:jc w:val="both"/>
        <w:outlineLvl w:val="0"/>
        <w:rPr>
          <w:rFonts w:ascii="Arial" w:hAnsi="Arial" w:cs="Arial"/>
          <w:sz w:val="20"/>
          <w:szCs w:val="20"/>
        </w:rPr>
      </w:pPr>
    </w:p>
    <w:p w:rsidR="00E30A10" w:rsidRDefault="00E30A10" w:rsidP="00E30A10">
      <w:pPr>
        <w:autoSpaceDE w:val="0"/>
        <w:autoSpaceDN w:val="0"/>
        <w:adjustRightInd w:val="0"/>
        <w:spacing w:after="0" w:line="240" w:lineRule="auto"/>
        <w:jc w:val="center"/>
        <w:outlineLvl w:val="0"/>
        <w:rPr>
          <w:rFonts w:ascii="Arial" w:hAnsi="Arial" w:cs="Arial"/>
          <w:b/>
          <w:bCs/>
          <w:sz w:val="20"/>
          <w:szCs w:val="20"/>
        </w:rPr>
      </w:pPr>
      <w:r>
        <w:rPr>
          <w:rFonts w:ascii="Arial" w:hAnsi="Arial" w:cs="Arial"/>
          <w:b/>
          <w:bCs/>
          <w:sz w:val="20"/>
          <w:szCs w:val="20"/>
        </w:rPr>
        <w:t>МИНИСТЕРСТВО ТРУДА И СОЦИАЛЬНОЙ ЗАЩИТЫ РОССИЙСКОЙ ФЕДЕРАЦИИ</w:t>
      </w:r>
    </w:p>
    <w:p w:rsidR="00E30A10" w:rsidRDefault="00E30A10" w:rsidP="00E30A10">
      <w:pPr>
        <w:autoSpaceDE w:val="0"/>
        <w:autoSpaceDN w:val="0"/>
        <w:adjustRightInd w:val="0"/>
        <w:spacing w:after="0" w:line="240" w:lineRule="auto"/>
        <w:jc w:val="center"/>
        <w:rPr>
          <w:rFonts w:ascii="Arial" w:hAnsi="Arial" w:cs="Arial"/>
          <w:b/>
          <w:bCs/>
          <w:sz w:val="20"/>
          <w:szCs w:val="20"/>
        </w:rPr>
      </w:pP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ПИСЬМО</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от 10 июля 2013 г. N 18-2/10/2-3836</w:t>
      </w:r>
    </w:p>
    <w:p w:rsidR="00E30A10" w:rsidRDefault="00E30A10" w:rsidP="00E30A10">
      <w:pPr>
        <w:autoSpaceDE w:val="0"/>
        <w:autoSpaceDN w:val="0"/>
        <w:adjustRightInd w:val="0"/>
        <w:spacing w:after="0" w:line="240" w:lineRule="auto"/>
        <w:jc w:val="center"/>
        <w:rPr>
          <w:rFonts w:ascii="Arial" w:hAnsi="Arial" w:cs="Arial"/>
          <w:b/>
          <w:bCs/>
          <w:sz w:val="20"/>
          <w:szCs w:val="20"/>
        </w:rPr>
      </w:pP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ОБ ОБЗОРЕ</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РЕКОМЕНДАЦИЙ ПО ОСУЩЕСТВЛЕНИЮ КОМПЛЕКСА ОРГАНИЗАЦИОННЫХ,</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РАЗЪЯСНИТЕЛЬНЫХ И ИНЫХ МЕР ПО НЕДОПУЩЕНИЮ ДОЛЖНОСТНЫМИ</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ЛИЦАМИ ПОВЕДЕНИЯ, КОТОРОЕ МОЖЕТ ВОСПРИНИМАТЬСЯ ОКРУЖАЮЩИМИ</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КАК ОБЕЩАНИЕ ДАЧИ ВЗЯТКИ ИЛИ ПРЕДЛОЖЕНИЕ ДАЧИ ВЗЯТКИ</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ЛИБО КАК СОГЛАСИЕ ПРИНЯТЬ ВЗЯТКУ ИЛИ КАК ПРОСЬБА</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О ДАЧЕ ВЗЯТКИ</w:t>
      </w:r>
    </w:p>
    <w:p w:rsidR="00E30A10" w:rsidRDefault="00E30A10" w:rsidP="00E30A10">
      <w:pPr>
        <w:autoSpaceDE w:val="0"/>
        <w:autoSpaceDN w:val="0"/>
        <w:adjustRightInd w:val="0"/>
        <w:spacing w:after="0" w:line="240" w:lineRule="auto"/>
        <w:jc w:val="center"/>
        <w:rPr>
          <w:rFonts w:ascii="Arial" w:hAnsi="Arial" w:cs="Arial"/>
          <w:sz w:val="20"/>
          <w:szCs w:val="20"/>
        </w:rPr>
      </w:pP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Министерство труда и социальной защиты Российской Федерации направляет </w:t>
      </w:r>
      <w:hyperlink w:anchor="Par31" w:history="1">
        <w:r>
          <w:rPr>
            <w:rFonts w:ascii="Arial" w:hAnsi="Arial" w:cs="Arial"/>
            <w:color w:val="0000FF"/>
            <w:sz w:val="20"/>
            <w:szCs w:val="20"/>
          </w:rPr>
          <w:t>Обзор</w:t>
        </w:r>
      </w:hyperlink>
      <w:r>
        <w:rPr>
          <w:rFonts w:ascii="Arial" w:hAnsi="Arial" w:cs="Arial"/>
          <w:sz w:val="20"/>
          <w:szCs w:val="20"/>
        </w:rPr>
        <w:t xml:space="preserve"> рекомендаций по осуществлению комплекса организационных, разъяснительных и иных мер по недопущению должностными лицами поведения, которое может восприниматься окружающими как обещание дачи взятки или предложение дачи взятки либо как согласие принять взятку или как просьба о даче взятки (далее - Обзор).</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hyperlink w:anchor="Par31" w:history="1">
        <w:r>
          <w:rPr>
            <w:rFonts w:ascii="Arial" w:hAnsi="Arial" w:cs="Arial"/>
            <w:color w:val="0000FF"/>
            <w:sz w:val="20"/>
            <w:szCs w:val="20"/>
          </w:rPr>
          <w:t>Обзор</w:t>
        </w:r>
      </w:hyperlink>
      <w:r>
        <w:rPr>
          <w:rFonts w:ascii="Arial" w:hAnsi="Arial" w:cs="Arial"/>
          <w:sz w:val="20"/>
          <w:szCs w:val="20"/>
        </w:rPr>
        <w:t xml:space="preserve"> одобрен решением президиума Совета при Президенте Российской Федерации по противодействию коррупции (пункт 4 раздела 4.1 протокола от 5 июня 2013 г. N 38) и рекомендован к использованию в практической антикоррупционной деятельности федеральными государственными органами, органами государственной власти субъектов Российской Федерации, органами местного самоуправления, государственными корпорациями, государственными фондами, организациями, созданными для выполнения задач, поставленных перед федеральными государственными органами.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hyperlink w:anchor="Par31" w:history="1">
        <w:r>
          <w:rPr>
            <w:rFonts w:ascii="Arial" w:hAnsi="Arial" w:cs="Arial"/>
            <w:color w:val="0000FF"/>
            <w:sz w:val="20"/>
            <w:szCs w:val="20"/>
          </w:rPr>
          <w:t>Обзор</w:t>
        </w:r>
      </w:hyperlink>
      <w:r>
        <w:rPr>
          <w:rFonts w:ascii="Arial" w:hAnsi="Arial" w:cs="Arial"/>
          <w:sz w:val="20"/>
          <w:szCs w:val="20"/>
        </w:rPr>
        <w:t xml:space="preserve"> подготовлен Минтрудом России в целях оказания методической поддержки руководителям вышеуказанных органов и организаций при исполнении поручения, предусмотренного </w:t>
      </w:r>
      <w:hyperlink r:id="rId6" w:history="1">
        <w:r>
          <w:rPr>
            <w:rFonts w:ascii="Arial" w:hAnsi="Arial" w:cs="Arial"/>
            <w:color w:val="0000FF"/>
            <w:sz w:val="20"/>
            <w:szCs w:val="20"/>
          </w:rPr>
          <w:t>подпунктом "г" пункта 4</w:t>
        </w:r>
      </w:hyperlink>
      <w:r>
        <w:rPr>
          <w:rFonts w:ascii="Arial" w:hAnsi="Arial" w:cs="Arial"/>
          <w:sz w:val="20"/>
          <w:szCs w:val="20"/>
        </w:rPr>
        <w:t xml:space="preserve"> Национального плана противодействия коррупции на 2012 - 2013 годы, утвержденного Указом Президента Российской Федерации от 13 марта 2012 г. N 297 (далее - Национальный план противодействия коррупции на 2012 - 2013 годы). В </w:t>
      </w:r>
      <w:hyperlink w:anchor="Par31" w:history="1">
        <w:r>
          <w:rPr>
            <w:rFonts w:ascii="Arial" w:hAnsi="Arial" w:cs="Arial"/>
            <w:color w:val="0000FF"/>
            <w:sz w:val="20"/>
            <w:szCs w:val="20"/>
          </w:rPr>
          <w:t>Обзор</w:t>
        </w:r>
      </w:hyperlink>
      <w:r>
        <w:rPr>
          <w:rFonts w:ascii="Arial" w:hAnsi="Arial" w:cs="Arial"/>
          <w:sz w:val="20"/>
          <w:szCs w:val="20"/>
        </w:rPr>
        <w:t xml:space="preserve"> включены международные документы и действующее законодательство Российской Федерации в области противодействия коррупции, криминализации обещания дачи взятки или получения взятки, предложения дачи взятки или получения взятки, а также обозначены основные задачи и направления, реализация которых будет способствовать формированию в органах и организациях негативного отношения к коррупции, созданию условий, затрудняющих возможность коррупционного поведения и обеспечивающих снижение уровня коррупции.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Просим обеспечить применение </w:t>
      </w:r>
      <w:hyperlink w:anchor="Par31" w:history="1">
        <w:r>
          <w:rPr>
            <w:rFonts w:ascii="Arial" w:hAnsi="Arial" w:cs="Arial"/>
            <w:color w:val="0000FF"/>
            <w:sz w:val="20"/>
            <w:szCs w:val="20"/>
          </w:rPr>
          <w:t>Обзора</w:t>
        </w:r>
      </w:hyperlink>
      <w:r>
        <w:rPr>
          <w:rFonts w:ascii="Arial" w:hAnsi="Arial" w:cs="Arial"/>
          <w:sz w:val="20"/>
          <w:szCs w:val="20"/>
        </w:rPr>
        <w:t xml:space="preserve"> в практической деятельности, а также довести прилагаемые материалы до сведения организаций, созданных для выполнения задач, поставленных перед федеральными государственными органами.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Одновременно сообщаем, что в конце 2013 года Минтрудом России будет осуществляться мониторинг исполнения </w:t>
      </w:r>
      <w:hyperlink r:id="rId7" w:history="1">
        <w:r>
          <w:rPr>
            <w:rFonts w:ascii="Arial" w:hAnsi="Arial" w:cs="Arial"/>
            <w:color w:val="0000FF"/>
            <w:sz w:val="20"/>
            <w:szCs w:val="20"/>
          </w:rPr>
          <w:t>подпункта "д" пункта 4</w:t>
        </w:r>
      </w:hyperlink>
      <w:r>
        <w:rPr>
          <w:rFonts w:ascii="Arial" w:hAnsi="Arial" w:cs="Arial"/>
          <w:sz w:val="20"/>
          <w:szCs w:val="20"/>
        </w:rPr>
        <w:t xml:space="preserve"> Национального плана противодействия коррупции на 2012 - 2013 годы в части практической реализации органами и организациями </w:t>
      </w:r>
      <w:hyperlink w:anchor="Par31" w:history="1">
        <w:r>
          <w:rPr>
            <w:rFonts w:ascii="Arial" w:hAnsi="Arial" w:cs="Arial"/>
            <w:color w:val="0000FF"/>
            <w:sz w:val="20"/>
            <w:szCs w:val="20"/>
          </w:rPr>
          <w:t>Обзора</w:t>
        </w:r>
      </w:hyperlink>
      <w:r>
        <w:rPr>
          <w:rFonts w:ascii="Arial" w:hAnsi="Arial" w:cs="Arial"/>
          <w:sz w:val="20"/>
          <w:szCs w:val="20"/>
        </w:rPr>
        <w:t>. Порядок, сроки и форма представления информации будут сообщены дополнительно.</w:t>
      </w:r>
    </w:p>
    <w:p w:rsidR="00E30A10" w:rsidRDefault="00E30A10" w:rsidP="00E30A10">
      <w:pPr>
        <w:autoSpaceDE w:val="0"/>
        <w:autoSpaceDN w:val="0"/>
        <w:adjustRightInd w:val="0"/>
        <w:spacing w:after="0" w:line="240" w:lineRule="auto"/>
        <w:jc w:val="right"/>
        <w:rPr>
          <w:rFonts w:ascii="Arial" w:hAnsi="Arial" w:cs="Arial"/>
          <w:sz w:val="20"/>
          <w:szCs w:val="20"/>
        </w:rPr>
      </w:pPr>
    </w:p>
    <w:p w:rsidR="00E30A10" w:rsidRDefault="00E30A10" w:rsidP="00E30A10">
      <w:pPr>
        <w:autoSpaceDE w:val="0"/>
        <w:autoSpaceDN w:val="0"/>
        <w:adjustRightInd w:val="0"/>
        <w:spacing w:after="0" w:line="240" w:lineRule="auto"/>
        <w:jc w:val="right"/>
        <w:rPr>
          <w:rFonts w:ascii="Arial" w:hAnsi="Arial" w:cs="Arial"/>
          <w:sz w:val="20"/>
          <w:szCs w:val="20"/>
        </w:rPr>
      </w:pPr>
      <w:r>
        <w:rPr>
          <w:rFonts w:ascii="Arial" w:hAnsi="Arial" w:cs="Arial"/>
          <w:sz w:val="20"/>
          <w:szCs w:val="20"/>
        </w:rPr>
        <w:t>М.А.ТОПИЛИН</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jc w:val="center"/>
        <w:outlineLvl w:val="0"/>
        <w:rPr>
          <w:rFonts w:ascii="Arial" w:hAnsi="Arial" w:cs="Arial"/>
          <w:b/>
          <w:bCs/>
          <w:sz w:val="20"/>
          <w:szCs w:val="20"/>
        </w:rPr>
      </w:pPr>
      <w:r>
        <w:rPr>
          <w:rFonts w:ascii="Arial" w:hAnsi="Arial" w:cs="Arial"/>
          <w:b/>
          <w:bCs/>
          <w:sz w:val="20"/>
          <w:szCs w:val="20"/>
        </w:rPr>
        <w:t>МИНИСТЕРСТВО ТРУДА И СОЦИАЛЬНОЙ ЗАЩИТЫ РОССИЙСКОЙ ФЕДЕРАЦИИ</w:t>
      </w:r>
    </w:p>
    <w:p w:rsidR="00E30A10" w:rsidRDefault="00E30A10" w:rsidP="00E30A10">
      <w:pPr>
        <w:autoSpaceDE w:val="0"/>
        <w:autoSpaceDN w:val="0"/>
        <w:adjustRightInd w:val="0"/>
        <w:spacing w:after="0" w:line="240" w:lineRule="auto"/>
        <w:jc w:val="center"/>
        <w:rPr>
          <w:rFonts w:ascii="Arial" w:hAnsi="Arial" w:cs="Arial"/>
          <w:b/>
          <w:bCs/>
          <w:sz w:val="20"/>
          <w:szCs w:val="20"/>
        </w:rPr>
      </w:pP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ИНФОРМАЦИЯ</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от 4 марта 2013 года</w:t>
      </w:r>
    </w:p>
    <w:p w:rsidR="00E30A10" w:rsidRDefault="00E30A10" w:rsidP="00E30A10">
      <w:pPr>
        <w:autoSpaceDE w:val="0"/>
        <w:autoSpaceDN w:val="0"/>
        <w:adjustRightInd w:val="0"/>
        <w:spacing w:after="0" w:line="240" w:lineRule="auto"/>
        <w:jc w:val="center"/>
        <w:rPr>
          <w:rFonts w:ascii="Arial" w:hAnsi="Arial" w:cs="Arial"/>
          <w:b/>
          <w:bCs/>
          <w:sz w:val="20"/>
          <w:szCs w:val="20"/>
        </w:rPr>
      </w:pPr>
    </w:p>
    <w:p w:rsidR="00E30A10" w:rsidRDefault="00E30A10" w:rsidP="00E30A10">
      <w:pPr>
        <w:autoSpaceDE w:val="0"/>
        <w:autoSpaceDN w:val="0"/>
        <w:adjustRightInd w:val="0"/>
        <w:spacing w:after="0" w:line="240" w:lineRule="auto"/>
        <w:jc w:val="center"/>
        <w:rPr>
          <w:rFonts w:ascii="Arial" w:hAnsi="Arial" w:cs="Arial"/>
          <w:b/>
          <w:bCs/>
          <w:sz w:val="20"/>
          <w:szCs w:val="20"/>
        </w:rPr>
      </w:pPr>
      <w:bookmarkStart w:id="0" w:name="Par31"/>
      <w:bookmarkEnd w:id="0"/>
      <w:r>
        <w:rPr>
          <w:rFonts w:ascii="Arial" w:hAnsi="Arial" w:cs="Arial"/>
          <w:b/>
          <w:bCs/>
          <w:sz w:val="20"/>
          <w:szCs w:val="20"/>
        </w:rPr>
        <w:t>ОБЗОР</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РЕКОМЕНДАЦИЙ ПО ОСУЩЕСТВЛЕНИЮ КОМПЛЕКСА ОРГАНИЗАЦИОННЫХ,</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РАЗЪЯСНИТЕЛЬНЫХ И ИНЫХ МЕР ПО НЕДОПУЩЕНИЮ ДОЛЖНОСТНЫМИ</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ЛИЦАМИ ПОВЕДЕНИЯ, КОТОРОЕ МОЖЕТ ВОСПРИНИМАТЬСЯ ОКРУЖАЮЩИМИ</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lastRenderedPageBreak/>
        <w:t>КАК ОБЕЩАНИЕ ДАЧИ ВЗЯТКИ ИЛИ ПРЕДЛОЖЕНИЕ ДАЧИ ВЗЯТКИ</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ЛИБО КАК СОГЛАСИЕ ПРИНЯТЬ ВЗЯТКУ ИЛИ КАК ПРОСЬБА</w:t>
      </w:r>
    </w:p>
    <w:p w:rsidR="00E30A10" w:rsidRDefault="00E30A10" w:rsidP="00E30A10">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О ДАЧЕ ВЗЯТКИ</w:t>
      </w:r>
    </w:p>
    <w:p w:rsidR="00E30A10" w:rsidRDefault="00E30A10" w:rsidP="00E30A10">
      <w:pPr>
        <w:autoSpaceDE w:val="0"/>
        <w:autoSpaceDN w:val="0"/>
        <w:adjustRightInd w:val="0"/>
        <w:spacing w:after="0" w:line="240" w:lineRule="auto"/>
        <w:jc w:val="center"/>
        <w:rPr>
          <w:rFonts w:ascii="Arial" w:hAnsi="Arial" w:cs="Arial"/>
          <w:sz w:val="20"/>
          <w:szCs w:val="20"/>
        </w:rPr>
      </w:pPr>
    </w:p>
    <w:p w:rsidR="00E30A10" w:rsidRDefault="00E30A10" w:rsidP="00E30A10">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(актуализирован в июле 2015 г.,</w:t>
      </w:r>
    </w:p>
    <w:p w:rsidR="00E30A10" w:rsidRDefault="00E30A10" w:rsidP="00E30A10">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внесены дополнения по вопросу ответственности за подкуп</w:t>
      </w:r>
    </w:p>
    <w:p w:rsidR="00E30A10" w:rsidRDefault="00E30A10" w:rsidP="00E30A10">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иностранных должностных лиц)</w:t>
      </w:r>
    </w:p>
    <w:p w:rsidR="00E30A10" w:rsidRDefault="00E30A10" w:rsidP="00E30A10">
      <w:pPr>
        <w:autoSpaceDE w:val="0"/>
        <w:autoSpaceDN w:val="0"/>
        <w:adjustRightInd w:val="0"/>
        <w:spacing w:after="0" w:line="240" w:lineRule="auto"/>
        <w:jc w:val="center"/>
        <w:rPr>
          <w:rFonts w:ascii="Arial" w:hAnsi="Arial" w:cs="Arial"/>
          <w:sz w:val="20"/>
          <w:szCs w:val="20"/>
        </w:rPr>
      </w:pPr>
    </w:p>
    <w:p w:rsidR="00E30A10" w:rsidRDefault="00E30A10" w:rsidP="00E30A10">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I. Международные документы и действующее законодательство Российской Федерации в области противодействия коррупции, криминализации обещания дачи взятки или получения взятки, предложения дачи взятки или получения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Российская Федерация реализует принятые обязательства во исполнение конвенций Организации Объединенных Наций, </w:t>
      </w:r>
      <w:hyperlink r:id="rId8" w:history="1">
        <w:r>
          <w:rPr>
            <w:rFonts w:ascii="Arial" w:hAnsi="Arial" w:cs="Arial"/>
            <w:color w:val="0000FF"/>
            <w:sz w:val="20"/>
            <w:szCs w:val="20"/>
          </w:rPr>
          <w:t>Конвенции</w:t>
        </w:r>
      </w:hyperlink>
      <w:r>
        <w:rPr>
          <w:rFonts w:ascii="Arial" w:hAnsi="Arial" w:cs="Arial"/>
          <w:sz w:val="20"/>
          <w:szCs w:val="20"/>
        </w:rPr>
        <w:t xml:space="preserve"> Организации экономического сотрудничества и развития по борьбе с подкупом иностранных должностных лиц при осуществлении международных коммерческих сделок, рекомендаций Совета Европы и других международных организаций. Сложившиеся на международном уровне антикоррупционные стандарты государственного управления распространяются на различные сферы правового регулирования, одной из которых является ответственность за коррупционные правонарушения.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Анализ международного опыта показывает, что на сегодняшний день широкое распространение получил подход, в соответствии с которым меры уголовной ответственности применяются не только за получение и дачу взятки, но и за обещание и предложение взятки, а также за просьбу о даче взятки и согласие ее принять. Соответствующие положения закреплены в "антикоррупционных" конвенциях и национальном законодательстве ряда зарубежных стран.</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со </w:t>
      </w:r>
      <w:hyperlink r:id="rId9" w:history="1">
        <w:r>
          <w:rPr>
            <w:rFonts w:ascii="Arial" w:hAnsi="Arial" w:cs="Arial"/>
            <w:color w:val="0000FF"/>
            <w:sz w:val="20"/>
            <w:szCs w:val="20"/>
          </w:rPr>
          <w:t>статьей 3</w:t>
        </w:r>
      </w:hyperlink>
      <w:r>
        <w:rPr>
          <w:rFonts w:ascii="Arial" w:hAnsi="Arial" w:cs="Arial"/>
          <w:sz w:val="20"/>
          <w:szCs w:val="20"/>
        </w:rPr>
        <w:t xml:space="preserve"> Конвенции Совета Европы об уголовной ответственности за коррупцию от 27 января 1999 г., вступившей в силу для Российской Федерации с 1 февраля 2007 г., Россия взяла на себя обязательство признать в качестве уголовного правонарушения прямое или косвенное преднамеренное испрашивание или получение какими-либо из публичных должностных лиц какого-либо неправомерного преимущества для самого этого лица или любого иного лица, или же принятие предложения или обещание такого преимущества, с тем, чтобы это должностное лицо совершило действия или воздержалось от их совершения при осуществлении своих функций.</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Изменения, направленные на решение концептуальных проблем в области борьбы с коррупцией, были внесены в Уголовный кодекс Российской Федерации и Кодекс Российской Федерации об административных правонарушениях Федеральным </w:t>
      </w:r>
      <w:hyperlink r:id="rId10" w:history="1">
        <w:r>
          <w:rPr>
            <w:rFonts w:ascii="Arial" w:hAnsi="Arial" w:cs="Arial"/>
            <w:color w:val="0000FF"/>
            <w:sz w:val="20"/>
            <w:szCs w:val="20"/>
          </w:rPr>
          <w:t>законом</w:t>
        </w:r>
      </w:hyperlink>
      <w:r>
        <w:rPr>
          <w:rFonts w:ascii="Arial" w:hAnsi="Arial" w:cs="Arial"/>
          <w:sz w:val="20"/>
          <w:szCs w:val="20"/>
        </w:rPr>
        <w:t xml:space="preserve"> от 4 мая 2011 г. N 97-ФЗ "О внесении изменений в Уголовный кодекс Российской Федерации и Кодекс Российской Федерации об административных правонарушениях в связи с совершенствованием государственного управления в области противодействия коррупции" (далее - Федеральный закон N 97-ФЗ).</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Вступившие в силу 17 мая 2011 г. изменения, внесенные в Уголовный </w:t>
      </w:r>
      <w:hyperlink r:id="rId11" w:history="1">
        <w:r>
          <w:rPr>
            <w:rFonts w:ascii="Arial" w:hAnsi="Arial" w:cs="Arial"/>
            <w:color w:val="0000FF"/>
            <w:sz w:val="20"/>
            <w:szCs w:val="20"/>
          </w:rPr>
          <w:t>кодекс</w:t>
        </w:r>
      </w:hyperlink>
      <w:r>
        <w:rPr>
          <w:rFonts w:ascii="Arial" w:hAnsi="Arial" w:cs="Arial"/>
          <w:sz w:val="20"/>
          <w:szCs w:val="20"/>
        </w:rPr>
        <w:t xml:space="preserve"> Российской Федерации (далее - УК РФ), предусматривают, что за коммерческий подкуп, дачу взятки, получение взятки и посредничество во взяточничестве устанавливаются штрафы в размере до 100-кратной суммы коммерческого подкупа или взятки, но не более 500 миллионов рублей, что является основным видом санкции за преступления коррупционной направленности.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Уголовная ответственность за получение и (или) дачу взятки устанавливается также в отношении иностранных должностных лиц либо должностных лиц публичной международной организации.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Согласно </w:t>
      </w:r>
      <w:hyperlink r:id="rId12" w:history="1">
        <w:r>
          <w:rPr>
            <w:rFonts w:ascii="Arial" w:hAnsi="Arial" w:cs="Arial"/>
            <w:color w:val="0000FF"/>
            <w:sz w:val="20"/>
            <w:szCs w:val="20"/>
          </w:rPr>
          <w:t>пункту 2</w:t>
        </w:r>
      </w:hyperlink>
      <w:r>
        <w:rPr>
          <w:rFonts w:ascii="Arial" w:hAnsi="Arial" w:cs="Arial"/>
          <w:sz w:val="20"/>
          <w:szCs w:val="20"/>
        </w:rPr>
        <w:t xml:space="preserve"> примечания к статье 290 УК РФ под иностранным должностным лицом в указанной статье, </w:t>
      </w:r>
      <w:hyperlink r:id="rId13" w:history="1">
        <w:r>
          <w:rPr>
            <w:rFonts w:ascii="Arial" w:hAnsi="Arial" w:cs="Arial"/>
            <w:color w:val="0000FF"/>
            <w:sz w:val="20"/>
            <w:szCs w:val="20"/>
          </w:rPr>
          <w:t>статьях 291</w:t>
        </w:r>
      </w:hyperlink>
      <w:r>
        <w:rPr>
          <w:rFonts w:ascii="Arial" w:hAnsi="Arial" w:cs="Arial"/>
          <w:sz w:val="20"/>
          <w:szCs w:val="20"/>
        </w:rPr>
        <w:t xml:space="preserve"> и </w:t>
      </w:r>
      <w:hyperlink r:id="rId14" w:history="1">
        <w:r>
          <w:rPr>
            <w:rFonts w:ascii="Arial" w:hAnsi="Arial" w:cs="Arial"/>
            <w:color w:val="0000FF"/>
            <w:sz w:val="20"/>
            <w:szCs w:val="20"/>
          </w:rPr>
          <w:t>291.1</w:t>
        </w:r>
      </w:hyperlink>
      <w:r>
        <w:rPr>
          <w:rFonts w:ascii="Arial" w:hAnsi="Arial" w:cs="Arial"/>
          <w:sz w:val="20"/>
          <w:szCs w:val="20"/>
        </w:rPr>
        <w:t xml:space="preserve"> УК РФ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hyperlink r:id="rId15" w:history="1">
        <w:r>
          <w:rPr>
            <w:rFonts w:ascii="Arial" w:hAnsi="Arial" w:cs="Arial"/>
            <w:color w:val="0000FF"/>
            <w:sz w:val="20"/>
            <w:szCs w:val="20"/>
          </w:rPr>
          <w:t>УК</w:t>
        </w:r>
      </w:hyperlink>
      <w:r>
        <w:rPr>
          <w:rFonts w:ascii="Arial" w:hAnsi="Arial" w:cs="Arial"/>
          <w:sz w:val="20"/>
          <w:szCs w:val="20"/>
        </w:rPr>
        <w:t xml:space="preserve"> РФ также включает норму, предусматривающую ответственность за посредничество во взяточничестве (</w:t>
      </w:r>
      <w:hyperlink r:id="rId16" w:history="1">
        <w:r>
          <w:rPr>
            <w:rFonts w:ascii="Arial" w:hAnsi="Arial" w:cs="Arial"/>
            <w:color w:val="0000FF"/>
            <w:sz w:val="20"/>
            <w:szCs w:val="20"/>
          </w:rPr>
          <w:t>статья 291.1</w:t>
        </w:r>
      </w:hyperlink>
      <w:r>
        <w:rPr>
          <w:rFonts w:ascii="Arial" w:hAnsi="Arial" w:cs="Arial"/>
          <w:sz w:val="20"/>
          <w:szCs w:val="20"/>
        </w:rPr>
        <w:t xml:space="preserve"> УК РФ). Помимо непосредственной передачи взятки посредничество может представлять собой способствование достижению соглашения между взяткодателем и (или) взяткополучателем либо в реализации такого соглашения.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w:t>
      </w:r>
      <w:hyperlink r:id="rId17" w:history="1">
        <w:r>
          <w:rPr>
            <w:rFonts w:ascii="Arial" w:hAnsi="Arial" w:cs="Arial"/>
            <w:color w:val="0000FF"/>
            <w:sz w:val="20"/>
            <w:szCs w:val="20"/>
          </w:rPr>
          <w:t>части 5 статьи 291.1</w:t>
        </w:r>
      </w:hyperlink>
      <w:r>
        <w:rPr>
          <w:rFonts w:ascii="Arial" w:hAnsi="Arial" w:cs="Arial"/>
          <w:sz w:val="20"/>
          <w:szCs w:val="20"/>
        </w:rPr>
        <w:t xml:space="preserve"> УК РФ установлена ответственность за обещание или предложение посредничества во взяточничестве. Санкции, предусмотренные </w:t>
      </w:r>
      <w:hyperlink r:id="rId18" w:history="1">
        <w:r>
          <w:rPr>
            <w:rFonts w:ascii="Arial" w:hAnsi="Arial" w:cs="Arial"/>
            <w:color w:val="0000FF"/>
            <w:sz w:val="20"/>
            <w:szCs w:val="20"/>
          </w:rPr>
          <w:t>пятой</w:t>
        </w:r>
      </w:hyperlink>
      <w:r>
        <w:rPr>
          <w:rFonts w:ascii="Arial" w:hAnsi="Arial" w:cs="Arial"/>
          <w:sz w:val="20"/>
          <w:szCs w:val="20"/>
        </w:rPr>
        <w:t xml:space="preserve"> и </w:t>
      </w:r>
      <w:hyperlink r:id="rId19" w:history="1">
        <w:r>
          <w:rPr>
            <w:rFonts w:ascii="Arial" w:hAnsi="Arial" w:cs="Arial"/>
            <w:color w:val="0000FF"/>
            <w:sz w:val="20"/>
            <w:szCs w:val="20"/>
          </w:rPr>
          <w:t>первой частями статьи 291.1</w:t>
        </w:r>
      </w:hyperlink>
      <w:r>
        <w:rPr>
          <w:rFonts w:ascii="Arial" w:hAnsi="Arial" w:cs="Arial"/>
          <w:sz w:val="20"/>
          <w:szCs w:val="20"/>
        </w:rPr>
        <w:t xml:space="preserve"> УК РФ, показывают, что обещание взятки или предложение посредничества во взяточничестве законодательством признаются более опасными, нежели собственно посредничество.</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Под коммерческим подкупом и взяткой в </w:t>
      </w:r>
      <w:hyperlink r:id="rId20" w:history="1">
        <w:r>
          <w:rPr>
            <w:rFonts w:ascii="Arial" w:hAnsi="Arial" w:cs="Arial"/>
            <w:color w:val="0000FF"/>
            <w:sz w:val="20"/>
            <w:szCs w:val="20"/>
          </w:rPr>
          <w:t>УК</w:t>
        </w:r>
      </w:hyperlink>
      <w:r>
        <w:rPr>
          <w:rFonts w:ascii="Arial" w:hAnsi="Arial" w:cs="Arial"/>
          <w:sz w:val="20"/>
          <w:szCs w:val="20"/>
        </w:rPr>
        <w:t xml:space="preserve"> РФ понимается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Кроме того, в </w:t>
      </w:r>
      <w:hyperlink r:id="rId21" w:history="1">
        <w:r>
          <w:rPr>
            <w:rFonts w:ascii="Arial" w:hAnsi="Arial" w:cs="Arial"/>
            <w:color w:val="0000FF"/>
            <w:sz w:val="20"/>
            <w:szCs w:val="20"/>
          </w:rPr>
          <w:t>статьях 204</w:t>
        </w:r>
      </w:hyperlink>
      <w:r>
        <w:rPr>
          <w:rFonts w:ascii="Arial" w:hAnsi="Arial" w:cs="Arial"/>
          <w:sz w:val="20"/>
          <w:szCs w:val="20"/>
        </w:rPr>
        <w:t xml:space="preserve">, </w:t>
      </w:r>
      <w:hyperlink r:id="rId22" w:history="1">
        <w:r>
          <w:rPr>
            <w:rFonts w:ascii="Arial" w:hAnsi="Arial" w:cs="Arial"/>
            <w:color w:val="0000FF"/>
            <w:sz w:val="20"/>
            <w:szCs w:val="20"/>
          </w:rPr>
          <w:t>290</w:t>
        </w:r>
      </w:hyperlink>
      <w:r>
        <w:rPr>
          <w:rFonts w:ascii="Arial" w:hAnsi="Arial" w:cs="Arial"/>
          <w:sz w:val="20"/>
          <w:szCs w:val="20"/>
        </w:rPr>
        <w:t xml:space="preserve">, </w:t>
      </w:r>
      <w:hyperlink r:id="rId23" w:history="1">
        <w:r>
          <w:rPr>
            <w:rFonts w:ascii="Arial" w:hAnsi="Arial" w:cs="Arial"/>
            <w:color w:val="0000FF"/>
            <w:sz w:val="20"/>
            <w:szCs w:val="20"/>
          </w:rPr>
          <w:t>291</w:t>
        </w:r>
      </w:hyperlink>
      <w:r>
        <w:rPr>
          <w:rFonts w:ascii="Arial" w:hAnsi="Arial" w:cs="Arial"/>
          <w:sz w:val="20"/>
          <w:szCs w:val="20"/>
        </w:rPr>
        <w:t xml:space="preserve"> УК РФ определены отягчающие обстоятельства, а также дифференцирована ответственность в зависимости от размера взятки. Сумма взятки, как правило, пропорциональна значимости используемых полномочий и характеру принимаемого решения.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w:t>
      </w:r>
      <w:hyperlink r:id="rId24" w:history="1">
        <w:r>
          <w:rPr>
            <w:rFonts w:ascii="Arial" w:hAnsi="Arial" w:cs="Arial"/>
            <w:color w:val="0000FF"/>
            <w:sz w:val="20"/>
            <w:szCs w:val="20"/>
          </w:rPr>
          <w:t>примечаниях</w:t>
        </w:r>
      </w:hyperlink>
      <w:r>
        <w:rPr>
          <w:rFonts w:ascii="Arial" w:hAnsi="Arial" w:cs="Arial"/>
          <w:sz w:val="20"/>
          <w:szCs w:val="20"/>
        </w:rPr>
        <w:t xml:space="preserve"> к статье 291 УК РФ представлен перечень обстоятельств, требующих освобождения взяткодателей от уголовной ответственности. Лицо может быть освобождено от ответственности, "если оно активно способствовало раскрытию и (или) расследованию преступления".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Вместе с тем, </w:t>
      </w:r>
      <w:hyperlink r:id="rId25" w:history="1">
        <w:r>
          <w:rPr>
            <w:rFonts w:ascii="Arial" w:hAnsi="Arial" w:cs="Arial"/>
            <w:color w:val="0000FF"/>
            <w:sz w:val="20"/>
            <w:szCs w:val="20"/>
          </w:rPr>
          <w:t>пунктом 22</w:t>
        </w:r>
      </w:hyperlink>
      <w:r>
        <w:rPr>
          <w:rFonts w:ascii="Arial" w:hAnsi="Arial" w:cs="Arial"/>
          <w:sz w:val="20"/>
          <w:szCs w:val="20"/>
        </w:rPr>
        <w:t xml:space="preserve"> постановления Пленума Верховного Суда Российской Федерации от 9 июля 2013 г. N 24 "О судебной практике по делам о взяточничестве и об иных коррупционных преступлениях" рекомендовано обратить внимание судов на то, что совершение должностным лицом или лицом, выполняющим управленческие функции в коммерческой или иной организации, за взятку либо незаконное вознаграждение при коммерческом подкупе действий (бездействие), образующих самостоятельный состав преступления, не охватывается объективной стороной преступлений, предусмотренных </w:t>
      </w:r>
      <w:hyperlink r:id="rId26" w:history="1">
        <w:r>
          <w:rPr>
            <w:rFonts w:ascii="Arial" w:hAnsi="Arial" w:cs="Arial"/>
            <w:color w:val="0000FF"/>
            <w:sz w:val="20"/>
            <w:szCs w:val="20"/>
          </w:rPr>
          <w:t>статьей 290</w:t>
        </w:r>
      </w:hyperlink>
      <w:r>
        <w:rPr>
          <w:rFonts w:ascii="Arial" w:hAnsi="Arial" w:cs="Arial"/>
          <w:sz w:val="20"/>
          <w:szCs w:val="20"/>
        </w:rPr>
        <w:t xml:space="preserve"> и </w:t>
      </w:r>
      <w:hyperlink r:id="rId27" w:history="1">
        <w:r>
          <w:rPr>
            <w:rFonts w:ascii="Arial" w:hAnsi="Arial" w:cs="Arial"/>
            <w:color w:val="0000FF"/>
            <w:sz w:val="20"/>
            <w:szCs w:val="20"/>
          </w:rPr>
          <w:t>частями 3</w:t>
        </w:r>
      </w:hyperlink>
      <w:r>
        <w:rPr>
          <w:rFonts w:ascii="Arial" w:hAnsi="Arial" w:cs="Arial"/>
          <w:sz w:val="20"/>
          <w:szCs w:val="20"/>
        </w:rPr>
        <w:t xml:space="preserve"> и </w:t>
      </w:r>
      <w:hyperlink r:id="rId28" w:history="1">
        <w:r>
          <w:rPr>
            <w:rFonts w:ascii="Arial" w:hAnsi="Arial" w:cs="Arial"/>
            <w:color w:val="0000FF"/>
            <w:sz w:val="20"/>
            <w:szCs w:val="20"/>
          </w:rPr>
          <w:t>4 статьи 204</w:t>
        </w:r>
      </w:hyperlink>
      <w:r>
        <w:rPr>
          <w:rFonts w:ascii="Arial" w:hAnsi="Arial" w:cs="Arial"/>
          <w:sz w:val="20"/>
          <w:szCs w:val="20"/>
        </w:rPr>
        <w:t xml:space="preserve"> УК РФ. В таких случаях содеянное взяткополучателем подлежит квалификации по совокупности преступлений как получение взятки за незаконные действия по службе и по соответствующей статье </w:t>
      </w:r>
      <w:hyperlink r:id="rId29" w:history="1">
        <w:r>
          <w:rPr>
            <w:rFonts w:ascii="Arial" w:hAnsi="Arial" w:cs="Arial"/>
            <w:color w:val="0000FF"/>
            <w:sz w:val="20"/>
            <w:szCs w:val="20"/>
          </w:rPr>
          <w:t>Особенной части</w:t>
        </w:r>
      </w:hyperlink>
      <w:r>
        <w:rPr>
          <w:rFonts w:ascii="Arial" w:hAnsi="Arial" w:cs="Arial"/>
          <w:sz w:val="20"/>
          <w:szCs w:val="20"/>
        </w:rPr>
        <w:t xml:space="preserve"> Уголовного кодекса Российской Федерации, предусматривающей ответственность за злоупотребление должностными полномочиями, превышение должностных полномочий, служебный подлог, фальсификацию доказательств и т.п.</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Для повышения эффективности административной ответственности, применяемой в отношении юридических лиц за причастность к коррупции, также внесены изменения в </w:t>
      </w:r>
      <w:hyperlink r:id="rId30" w:history="1">
        <w:r>
          <w:rPr>
            <w:rFonts w:ascii="Arial" w:hAnsi="Arial" w:cs="Arial"/>
            <w:color w:val="0000FF"/>
            <w:sz w:val="20"/>
            <w:szCs w:val="20"/>
          </w:rPr>
          <w:t>Кодекс</w:t>
        </w:r>
      </w:hyperlink>
      <w:r>
        <w:rPr>
          <w:rFonts w:ascii="Arial" w:hAnsi="Arial" w:cs="Arial"/>
          <w:sz w:val="20"/>
          <w:szCs w:val="20"/>
        </w:rPr>
        <w:t xml:space="preserve"> Российской Федерации об административных правонарушениях (далее - КоАП РФ).</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Так, в частности, Федеральным </w:t>
      </w:r>
      <w:hyperlink r:id="rId31" w:history="1">
        <w:r>
          <w:rPr>
            <w:rFonts w:ascii="Arial" w:hAnsi="Arial" w:cs="Arial"/>
            <w:color w:val="0000FF"/>
            <w:sz w:val="20"/>
            <w:szCs w:val="20"/>
          </w:rPr>
          <w:t>законом</w:t>
        </w:r>
      </w:hyperlink>
      <w:r>
        <w:rPr>
          <w:rFonts w:ascii="Arial" w:hAnsi="Arial" w:cs="Arial"/>
          <w:sz w:val="20"/>
          <w:szCs w:val="20"/>
        </w:rPr>
        <w:t xml:space="preserve"> N 97-ФЗ введена </w:t>
      </w:r>
      <w:hyperlink r:id="rId32" w:history="1">
        <w:r>
          <w:rPr>
            <w:rFonts w:ascii="Arial" w:hAnsi="Arial" w:cs="Arial"/>
            <w:color w:val="0000FF"/>
            <w:sz w:val="20"/>
            <w:szCs w:val="20"/>
          </w:rPr>
          <w:t>статья 19.28</w:t>
        </w:r>
      </w:hyperlink>
      <w:r>
        <w:rPr>
          <w:rFonts w:ascii="Arial" w:hAnsi="Arial" w:cs="Arial"/>
          <w:sz w:val="20"/>
          <w:szCs w:val="20"/>
        </w:rPr>
        <w:t xml:space="preserve"> КоАП РФ, устанавливающая административную ответственность за незаконную передачу,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(бездействия), связанного с занимаемым ими служебным положением.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Определение иностранного должностного лица и должностного лица публичной международной организации приведено в </w:t>
      </w:r>
      <w:hyperlink r:id="rId33" w:history="1">
        <w:r>
          <w:rPr>
            <w:rFonts w:ascii="Arial" w:hAnsi="Arial" w:cs="Arial"/>
            <w:color w:val="0000FF"/>
            <w:sz w:val="20"/>
            <w:szCs w:val="20"/>
          </w:rPr>
          <w:t>пункте 3</w:t>
        </w:r>
      </w:hyperlink>
      <w:r>
        <w:rPr>
          <w:rFonts w:ascii="Arial" w:hAnsi="Arial" w:cs="Arial"/>
          <w:sz w:val="20"/>
          <w:szCs w:val="20"/>
        </w:rPr>
        <w:t xml:space="preserve"> примечания к статье 19.28 КоАП РФ и совпадает с определением, закрепленным в </w:t>
      </w:r>
      <w:hyperlink r:id="rId34" w:history="1">
        <w:r>
          <w:rPr>
            <w:rFonts w:ascii="Arial" w:hAnsi="Arial" w:cs="Arial"/>
            <w:color w:val="0000FF"/>
            <w:sz w:val="20"/>
            <w:szCs w:val="20"/>
          </w:rPr>
          <w:t>пункте 2</w:t>
        </w:r>
      </w:hyperlink>
      <w:r>
        <w:rPr>
          <w:rFonts w:ascii="Arial" w:hAnsi="Arial" w:cs="Arial"/>
          <w:sz w:val="20"/>
          <w:szCs w:val="20"/>
        </w:rPr>
        <w:t xml:space="preserve"> примечания к статье 290 УК РФ.</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рамках реализации </w:t>
      </w:r>
      <w:hyperlink r:id="rId35" w:history="1">
        <w:r>
          <w:rPr>
            <w:rFonts w:ascii="Arial" w:hAnsi="Arial" w:cs="Arial"/>
            <w:color w:val="0000FF"/>
            <w:sz w:val="20"/>
            <w:szCs w:val="20"/>
          </w:rPr>
          <w:t>Конвенции</w:t>
        </w:r>
      </w:hyperlink>
      <w:r>
        <w:rPr>
          <w:rFonts w:ascii="Arial" w:hAnsi="Arial" w:cs="Arial"/>
          <w:sz w:val="20"/>
          <w:szCs w:val="20"/>
        </w:rPr>
        <w:t xml:space="preserve"> Организации экономического сотрудничества и развития по борьбе с подкупом иностранных должностных лиц при осуществлении международных коммерческих сделок в отношении случаев привлечения к ответственности за подкуп иностранных должностных лиц необходимо учитывать положения нормативных правовых актов ряда зарубежных государств, посвященные противодействию коррупции, имеющих экстерриториальное действие. Такого рода нормативные правовые акты устанавливают санкции за совершение коррупционных правонарушений, которые могут быть применены государством за преступление, совершенное вне его пределов, при условии, что лицо, совершившее преступление, имеет с государством определенную, юридически закрепленную связь.</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Наиболее известные нормативные правовые акты зарубежных государств по вопросам противодействия коррупции, имеющие экстерриториальное действие, категории субъектов, на которые они распространяются, и условия привлечения их к ответственности приведены в Методических рекомендациях по разработке и принятию организациями мер по предупреждению и противодействию коррупции (http://www.rosmintrud.ru/ministry/programms/gossluzhba/antikorr/5/0) (http://www.rosmintrud.ru/ministry/programms/gossluzhba/antikorr/5/0)).</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Поведение, которое может восприниматься окружающими как обещание дачи взятки или предложение дачи взятки либо как согласие принять взятку или как просьба о даче взятки, является неприемлемым для государственных служащих, поскольку заставляет усомниться в его объективности и добросовестности, наносит ущерб репутации системы государственного управления в целом.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Для предупреждения подобных негативных последствий лицам, замещающим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w:t>
      </w:r>
      <w:r>
        <w:rPr>
          <w:rFonts w:ascii="Arial" w:hAnsi="Arial" w:cs="Arial"/>
          <w:sz w:val="20"/>
          <w:szCs w:val="20"/>
        </w:rPr>
        <w:lastRenderedPageBreak/>
        <w:t>создаваемых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(далее - служащие и работники), следует уделять внимание манере своего общения с коллегами, представителями организаций, иными гражданами и, в частности, воздерживаться от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 Федеральным </w:t>
      </w:r>
      <w:hyperlink r:id="rId36" w:history="1">
        <w:r>
          <w:rPr>
            <w:rFonts w:ascii="Arial" w:hAnsi="Arial" w:cs="Arial"/>
            <w:color w:val="0000FF"/>
            <w:sz w:val="20"/>
            <w:szCs w:val="20"/>
          </w:rPr>
          <w:t>законом</w:t>
        </w:r>
      </w:hyperlink>
      <w:r>
        <w:rPr>
          <w:rFonts w:ascii="Arial" w:hAnsi="Arial" w:cs="Arial"/>
          <w:sz w:val="20"/>
          <w:szCs w:val="20"/>
        </w:rPr>
        <w:t xml:space="preserve"> от 25 декабря 2008 г. N 273-ФЗ "О противодействии коррупции" одним из основных принципов противодействия коррупции определена приоритетность мер по ее профилактике.</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Особая роль в организации работы по данному направлению отводится подразделениям или должностным лицам, ответственным за профилактику коррупционных и иных правонарушений в органах государственной власти, местного самоуправления и организациях. В целях методической поддержки их деятельности подготовлен комплекс организационных, разъяснительных и иных мер по недопущению служащими и работниками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 (далее - комплекс мер).</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Мероприятия, включенные в комплекс мер, рекомендуется осуществлять по следующим направлениям: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информирование служащих и работников об установленных действующим законодательством Российской Федерации, международным и зарубежным законодательством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в том числе за подкуп иностранных должностных лиц;</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разъяснение служащим и работникам порядка соблюдения ограничений и запретов, требований о предотвращении или об урегулировании конфликта интересов, обязанности об уведомлении представителя нанимателя (работодателя) об обращениях в целях склонения к совершению коррупционных правонарушений, иных обязанностей, установленных в целях противодействия коррупции;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закрепление в локальных правовых актах этических норм поведения служащих и работников, процедур и форм соблюдения служащими и работниками ограничений, запретов и обязанностей, установленных законодательством о противодействии коррупции;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обеспечение открытости деятельности органов государственной власти, местного самоуправления, государственных внебюджетных фондов и иных организаций, включая внедрение мер общественного контроля.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Основными задачами осуществления комплекса мер являются: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формирование в органе государственной власти, местного самоуправления, государственном внебюджетном фонде, организации негативного отношения к поведению служащих, работников, которое может восприниматься окружающими как обещание или предложение дачи взятки либо как согласие принять взятку или как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организация исполнения нормативных правовых актов и управленческих решений в области противодействия коррупции, создание условий, затрудняющих возможность коррупционного поведения и обеспечивающих снижение уровня коррупции;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обеспечение выполнения служащими, работниками, юридическими и физическими лицами норм антикоррупционного поведения, включая применение в необходимых случаях мер принуждения в соответствии с законодательными актами Российской Федерации.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II. Комплекс организационных, разъяснительных и иных мер по недопущению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Информирование служащих и работников об установленных действующим законодательством Российской Федерации, международным и зарубежным законодательством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в том числе за подкуп иностранных должностных лиц.</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Реализацию данного направления рекомендуется осуществлять посредством: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проведения серии учебно-практических семинаров (тренингов);</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разработки методических рекомендаций и информационных памяток об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В рамках серии учебно-практических семинаров является целесообразным рассмотрение следующих вопросов.</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1) Понятие взятки. Необходимо обратить внимание служащих и работников на то, что в соответствии с действующим законодательством предметом взятки или коммерческого подкупа наряду с деньгами, ценными бумагами и иным имуществом могут быть выгоды или услуги имущественного характера, оказываемые безвозмездно, но подлежащие оплате (предоставление туристических путевок, ремонт квартиры, строительство дачи и т.п.). Под выгодами имущественного характера следует понимать, в частности, занижение стоимости передаваемого имущества, приватизируемых объектов, уменьшение арендных платежей, процентных ставок за пользование банковскими ссудами (</w:t>
      </w:r>
      <w:hyperlink r:id="rId37" w:history="1">
        <w:r>
          <w:rPr>
            <w:rFonts w:ascii="Arial" w:hAnsi="Arial" w:cs="Arial"/>
            <w:color w:val="0000FF"/>
            <w:sz w:val="20"/>
            <w:szCs w:val="20"/>
          </w:rPr>
          <w:t>пункт 9</w:t>
        </w:r>
      </w:hyperlink>
      <w:r>
        <w:rPr>
          <w:rFonts w:ascii="Arial" w:hAnsi="Arial" w:cs="Arial"/>
          <w:sz w:val="20"/>
          <w:szCs w:val="20"/>
        </w:rPr>
        <w:t xml:space="preserve"> Постановления Пленума Верховного Суда Российской Федерации от 10 февраля 2000 г. N 6 "О судебной практике по делам о взяточничестве и коммерческом подкупе" (далее - Постановление Пленума ВС РФ N 6)).</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Понятие незаконного вознаграждения. Необходимо обратить внимание служащих и работников на то, что помимо понятия взятка в действующем российском законодательстве используется такое понятие, как "незаконное вознаграждение от имени юридического лица".</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со </w:t>
      </w:r>
      <w:hyperlink r:id="rId38" w:history="1">
        <w:r>
          <w:rPr>
            <w:rFonts w:ascii="Arial" w:hAnsi="Arial" w:cs="Arial"/>
            <w:color w:val="0000FF"/>
            <w:sz w:val="20"/>
            <w:szCs w:val="20"/>
          </w:rPr>
          <w:t>статьей 19.28</w:t>
        </w:r>
      </w:hyperlink>
      <w:r>
        <w:rPr>
          <w:rFonts w:ascii="Arial" w:hAnsi="Arial" w:cs="Arial"/>
          <w:sz w:val="20"/>
          <w:szCs w:val="20"/>
        </w:rPr>
        <w:t xml:space="preserve"> КоАП РФ под незаконным вознаграждением от имени юридического лица понимаются незаконные передача, предложение или обещание от имени или в интересах юридического лица должностному лицу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действия (бездействия), связанного с занимаемым ими служебным положением.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За совершение подобных действий к юридическому лицу применяются меры административной ответственности вплоть до штрафа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 Понятие покушения на </w:t>
      </w:r>
      <w:hyperlink r:id="rId39" w:history="1">
        <w:r>
          <w:rPr>
            <w:rFonts w:ascii="Arial" w:hAnsi="Arial" w:cs="Arial"/>
            <w:color w:val="0000FF"/>
            <w:sz w:val="20"/>
            <w:szCs w:val="20"/>
          </w:rPr>
          <w:t>получение взятки</w:t>
        </w:r>
      </w:hyperlink>
      <w:r>
        <w:rPr>
          <w:rFonts w:ascii="Arial" w:hAnsi="Arial" w:cs="Arial"/>
          <w:sz w:val="20"/>
          <w:szCs w:val="20"/>
        </w:rPr>
        <w:t xml:space="preserve">. Необходимо обратить внимание служащих и работников на то, что если обусловленная передача ценностей не состоялась по обстоятельствам, не зависящим от воли лиц, пытавшихся получить предмет взятки или подкупа, содеянное следует квалифицировать как </w:t>
      </w:r>
      <w:hyperlink r:id="rId40" w:history="1">
        <w:r>
          <w:rPr>
            <w:rFonts w:ascii="Arial" w:hAnsi="Arial" w:cs="Arial"/>
            <w:color w:val="0000FF"/>
            <w:sz w:val="20"/>
            <w:szCs w:val="20"/>
          </w:rPr>
          <w:t>покушение</w:t>
        </w:r>
      </w:hyperlink>
      <w:r>
        <w:rPr>
          <w:rFonts w:ascii="Arial" w:hAnsi="Arial" w:cs="Arial"/>
          <w:sz w:val="20"/>
          <w:szCs w:val="20"/>
        </w:rPr>
        <w:t xml:space="preserve"> на получение взятки или незаконное вознаграждение при коммерческом подкупе (</w:t>
      </w:r>
      <w:hyperlink r:id="rId41" w:history="1">
        <w:r>
          <w:rPr>
            <w:rFonts w:ascii="Arial" w:hAnsi="Arial" w:cs="Arial"/>
            <w:color w:val="0000FF"/>
            <w:sz w:val="20"/>
            <w:szCs w:val="20"/>
          </w:rPr>
          <w:t>пункт 11</w:t>
        </w:r>
      </w:hyperlink>
      <w:r>
        <w:rPr>
          <w:rFonts w:ascii="Arial" w:hAnsi="Arial" w:cs="Arial"/>
          <w:sz w:val="20"/>
          <w:szCs w:val="20"/>
        </w:rPr>
        <w:t xml:space="preserve"> Постановления Пленума ВС РФ N 6).</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Участие родственников в получении взятки. Необходимо указать, что, если имущественные выгоды в виде денег, иных ценностей, оказания материальных услуг предоставлены родным и близким должностного лица с его согласия либо если он не возражал против этого и использовал свои служебные полномочия в пользу взяткодателя, действия должностного лица следует квалифицировать как получение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Понятие вымогательства взятки. Необходимо обратить внимание служащих и работников на то, что под вымогательством взятки понимается требование должностного лица дать взятку либо передать незаконное вознаграждение в виде денег, ценных бумаг, иного имущества под угрозой совершения действий, которые могут причинить ущерб законным интересам гражданина либо поставить последнего в такие условия, при которых он вынужден дать взятку либо совершить коммерческий подкуп с целью предотвращения вредных последствий для его правоохраняемых интересов (</w:t>
      </w:r>
      <w:hyperlink r:id="rId42" w:history="1">
        <w:r>
          <w:rPr>
            <w:rFonts w:ascii="Arial" w:hAnsi="Arial" w:cs="Arial"/>
            <w:color w:val="0000FF"/>
            <w:sz w:val="20"/>
            <w:szCs w:val="20"/>
          </w:rPr>
          <w:t>пункт 15</w:t>
        </w:r>
      </w:hyperlink>
      <w:r>
        <w:rPr>
          <w:rFonts w:ascii="Arial" w:hAnsi="Arial" w:cs="Arial"/>
          <w:sz w:val="20"/>
          <w:szCs w:val="20"/>
        </w:rPr>
        <w:t xml:space="preserve"> Постановления Пленума ВС РФ N 6).</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Подкуп иностранных должностных лиц. Государственным органам и служащим, а также организациям и их работникам следует принимать во внимание, что к ним могут применяться нормы и санкции, установленные не только российским, но и зарубежным антикоррупционным законодательством. Рядом зарубежных государств приняты законодательные акты по вопросам борьбы с коррупцией и взяточничеством, имеющие экстерриториальное действие. Организациям, зарегистрированным и (или) осуществляющим деятельность на территории Российской Федерации, попадающим под действие таких нормативных правовых актов, следует учитывать установленные ими требования и ограничения. Ознакомиться с зарубежным законодательством, касающимся подкупа иностранных должностных лиц, рекомендуется также должностным лицам в случае их командирования или при исполнении своих должностных обязанностей в представительствах государственных органов за рубежом.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 Исторические материалы по вышеуказанным вопросам, изложенным в Своде законов Российской Империи (Том III).</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 Также необходимо обеспечить усиление информационной (просветительской) работы органов государственной власти, местного самоуправления, государственных внебюджетных фондов и организаций по ключевым вопросам обозначенного направления.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Так, в частности, предлагается подготовить памятки для служащих и работников по следующим вопросам: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уголовная ответственность за получение и дачу взятки, в которой изложить вопросы применения мер уголовной ответственности за получение и дачу взятки и мер административной ответственности за незаконное вознаграждение от имени юридического лица;</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2) сборник положений нормативных правовых актов, регулирующих вопросы применения ответственности за получение и дачу взятки и незаконного вознаграждения, в том числе: </w:t>
      </w:r>
      <w:hyperlink r:id="rId43" w:history="1">
        <w:r>
          <w:rPr>
            <w:rFonts w:ascii="Arial" w:hAnsi="Arial" w:cs="Arial"/>
            <w:color w:val="0000FF"/>
            <w:sz w:val="20"/>
            <w:szCs w:val="20"/>
          </w:rPr>
          <w:t>статьи 290</w:t>
        </w:r>
      </w:hyperlink>
      <w:r>
        <w:rPr>
          <w:rFonts w:ascii="Arial" w:hAnsi="Arial" w:cs="Arial"/>
          <w:sz w:val="20"/>
          <w:szCs w:val="20"/>
        </w:rPr>
        <w:t xml:space="preserve">, </w:t>
      </w:r>
      <w:hyperlink r:id="rId44" w:history="1">
        <w:r>
          <w:rPr>
            <w:rFonts w:ascii="Arial" w:hAnsi="Arial" w:cs="Arial"/>
            <w:color w:val="0000FF"/>
            <w:sz w:val="20"/>
            <w:szCs w:val="20"/>
          </w:rPr>
          <w:t>291</w:t>
        </w:r>
      </w:hyperlink>
      <w:r>
        <w:rPr>
          <w:rFonts w:ascii="Arial" w:hAnsi="Arial" w:cs="Arial"/>
          <w:sz w:val="20"/>
          <w:szCs w:val="20"/>
        </w:rPr>
        <w:t xml:space="preserve">, </w:t>
      </w:r>
      <w:hyperlink r:id="rId45" w:history="1">
        <w:r>
          <w:rPr>
            <w:rFonts w:ascii="Arial" w:hAnsi="Arial" w:cs="Arial"/>
            <w:color w:val="0000FF"/>
            <w:sz w:val="20"/>
            <w:szCs w:val="20"/>
          </w:rPr>
          <w:t>291.1</w:t>
        </w:r>
      </w:hyperlink>
      <w:r>
        <w:rPr>
          <w:rFonts w:ascii="Arial" w:hAnsi="Arial" w:cs="Arial"/>
          <w:sz w:val="20"/>
          <w:szCs w:val="20"/>
        </w:rPr>
        <w:t xml:space="preserve"> УК РФ; </w:t>
      </w:r>
      <w:hyperlink r:id="rId46" w:history="1">
        <w:r>
          <w:rPr>
            <w:rFonts w:ascii="Arial" w:hAnsi="Arial" w:cs="Arial"/>
            <w:color w:val="0000FF"/>
            <w:sz w:val="20"/>
            <w:szCs w:val="20"/>
          </w:rPr>
          <w:t>статья 19.28</w:t>
        </w:r>
      </w:hyperlink>
      <w:r>
        <w:rPr>
          <w:rFonts w:ascii="Arial" w:hAnsi="Arial" w:cs="Arial"/>
          <w:sz w:val="20"/>
          <w:szCs w:val="20"/>
        </w:rPr>
        <w:t xml:space="preserve"> КоАП РФ; </w:t>
      </w:r>
      <w:hyperlink r:id="rId47" w:history="1">
        <w:r>
          <w:rPr>
            <w:rFonts w:ascii="Arial" w:hAnsi="Arial" w:cs="Arial"/>
            <w:color w:val="0000FF"/>
            <w:sz w:val="20"/>
            <w:szCs w:val="20"/>
          </w:rPr>
          <w:t>пункты 9</w:t>
        </w:r>
      </w:hyperlink>
      <w:r>
        <w:rPr>
          <w:rFonts w:ascii="Arial" w:hAnsi="Arial" w:cs="Arial"/>
          <w:sz w:val="20"/>
          <w:szCs w:val="20"/>
        </w:rPr>
        <w:t xml:space="preserve">, </w:t>
      </w:r>
      <w:hyperlink r:id="rId48" w:history="1">
        <w:r>
          <w:rPr>
            <w:rFonts w:ascii="Arial" w:hAnsi="Arial" w:cs="Arial"/>
            <w:color w:val="0000FF"/>
            <w:sz w:val="20"/>
            <w:szCs w:val="20"/>
          </w:rPr>
          <w:t>11</w:t>
        </w:r>
      </w:hyperlink>
      <w:r>
        <w:rPr>
          <w:rFonts w:ascii="Arial" w:hAnsi="Arial" w:cs="Arial"/>
          <w:sz w:val="20"/>
          <w:szCs w:val="20"/>
        </w:rPr>
        <w:t xml:space="preserve">, </w:t>
      </w:r>
      <w:hyperlink r:id="rId49" w:history="1">
        <w:r>
          <w:rPr>
            <w:rFonts w:ascii="Arial" w:hAnsi="Arial" w:cs="Arial"/>
            <w:color w:val="0000FF"/>
            <w:sz w:val="20"/>
            <w:szCs w:val="20"/>
          </w:rPr>
          <w:t>15</w:t>
        </w:r>
      </w:hyperlink>
      <w:r>
        <w:rPr>
          <w:rFonts w:ascii="Arial" w:hAnsi="Arial" w:cs="Arial"/>
          <w:sz w:val="20"/>
          <w:szCs w:val="20"/>
        </w:rPr>
        <w:t xml:space="preserve"> Постановления Пленума ВС РФ N 6.</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Памятки представляется целесообразным сформулировать на основе типовых жизненных ситуаций. Они должны быть краткими, написанными доступным языком без использования сложных юридических терминов. Также в памятки необходимо включить сведения для правильной оценки соответствующей жизненной ситуации (например, разъяснять, что понимается под взяткой), порядок действий в данной ситуации, ссылки на соответствующие положения нормативных правовых актов.</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Разъяснение служащим и работникам порядка соблюдения ограничений и запретов, требований о предотвращении или об урегулировании конфликта интересов, обязанности об уведомлении представителя нанимателя (работодателя) об обращениях в целях склонения к совершению коррупционных правонарушений, иных обязанностей, установленных в целях противодействия коррупции.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Обеспечение информирования служащих и работников об установленных действующим законодательством о противодействии коррупции ограничениях, запретах, обязанностях и принципах служебного поведения целесообразно осуществлять, применяя следующие меры.</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2.1. В рамках учебных семинаров (бесед, лекций, практических занятий) следует разъяснять процедуры и формы соблюдения требований к служебному поведению, а также этические нормы поведения, которыми им надлежит руководствоваться при исполнении должностных обязанностей.</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части организации семинаров (бесед, лекций, практических занятий) необходимо рассмотреть следующие вопросы.</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Порядок уведомления служащего и работника о фактах склонения к совершению коррупционного правонарушения.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ходе семинара требуется: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напомнить служащим и работникам, что уведомление представителя нанимателя (работодателя) о склонении к коррупционным правонарушениям является их обязанностью;</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указать служащим и работникам на то, что уведомление обо всех ситуациях склонения к коррупционным правонарушениям может привести к сокращению числа случаев предложения и дачи взятки, т.к. позволяет выявить недобросовестных представителей организаций и иных граждан, взаимодействующих с государственным органом, государственным внебюджетным фондом или организацией;</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разъяснить порядок направления и рассмотрения уведомления о склонении к коррупционным правонарушениям, утвержденный государственным органом, государственным внебюджетным фондом, организацией.</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Порядок урегулирования конфликта интересов.</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ходе семинара необходимо:</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указать служащим и работникам на то, что в целом ряде случаев совершение ими определенных действий не только приводит к возникновению конфликта интересов, но и может восприниматься окружающими как согласие принять взятку. Речь идет, в том числе, о следующих ситуациях:</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служащий или работник ведет переговоры о последующем трудоустройстве с организацией, которая извлекла, извлекает или может извлечь выгоду из решений или действий (бездействия) указанных лиц;</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родственники служащего или работника устраиваются на работу в организацию, которая извлекла, извлекает или может извлечь выгоду из его решений или действий (бездействия);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родственники служащего или работника соглашаются принять подарок от организации, которая извлекла, извлекает или может извлечь выгоду из его решений или действий (бездействия) и т.д.;</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напомнить служащим и работникам, что письменное информирование представителя нанимателя (работодателя) о возникновении личной заинтересованности, которая приводит или может привести к конфликту интересов, является их обязанностью;</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обсудить со служащими и работниками типовые ситуации конфликта интересов и порядок уведомления о возникновении личной заинтересованности.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bookmarkStart w:id="1" w:name="Par114"/>
      <w:bookmarkEnd w:id="1"/>
      <w:r>
        <w:rPr>
          <w:rFonts w:ascii="Arial" w:hAnsi="Arial" w:cs="Arial"/>
          <w:sz w:val="20"/>
          <w:szCs w:val="20"/>
        </w:rPr>
        <w:t>3) Действия и высказывания, которые могут быть восприняты окружающими как согласие принять взятку или как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ходе семинара является целесообразным, в частности: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обсудить со служащими и работниками слова, выражения и жесты, которые могут быть восприняты окружающими как просьба (намек) о даче взятки, и указать на необходимость воздерживаться от употребления подобных выражений при взаимодействии с гражданами.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 числу таких выражений относятся, например: "вопрос решить трудно, но можно", "спасибо на хлеб не намажешь", "договоримся", "нужны более веские аргументы", "нужно обсудить параметры", "ну что делать будем?" и т.д.;</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б) указать служащим и работникам на то, что обсуждение определенных тем с представителями организаций и гражданами, особенно с теми из них, чья выгода зависит от решений и действий служащих и работников, может восприниматься как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 числу таких тем относятся, например:</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низкий уровень заработной платы служащего, работника и нехватка денежных средств на реализацию тех или иных нужд;</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желание приобрести то или иное имущество, получить ту или иную услугу, отправиться в туристическую поездку;</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отсутствие работы у родственников служащего, работника;</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необходимость поступления детей служащего, работника в образовательные учреждения и т.д.;</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указать служащим и работникам, что определенные исходящие от них предложения, особенно если они адресованы представителям организаций и гражданам, чья выгода зависит от их решений и действий, могут восприниматься как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Это возможно даже в том случае, когда такие предложения продиктованы благими намерениями и никак не связаны с личной выгодой государственного служащего, работника.</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 числу таких предложений относятся, например, предложения: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предоставить служащему, работнику и (или) его родственникам скидку;</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воспользоваться услугами конкретной компании и (или) экспертов для устранения выявленных нарушений, выполнения работ в рамках государственного контракта, подготовки необходимых документов;</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внести деньги в конкретный благотворительный фонд;</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поддержать конкретную спортивную команду и т.д.;</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г) разъяснить служащим и работникам, что совершение ими определенных действий может восприниматься как согласие принять взятку или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 числу таких действий относятся, например:</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регулярное получение подарков, даже (если речь идет не о государственном гражданском служащем) стоимостью менее 3000 рублей ;</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посещения ресторанов совместно с представителями организации, которая извлекла, извлекает или может извлечь выгоду из решений или действий (бездействия) служащего или работника.</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2.2. Также действенной мерой по данному направлению может стать подготовка и распространение среди служащих и работников памяток и иных методических материалов, содержащих разъяснения по ключевым вопросам, к которым, в частности, следует отнести: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уведомление о склонении к коррупции. В памятке следует описать порядок действий служащего или работника при склонении его к коррупционным правонарушениям;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о типовых случаях конфликтов интересов и порядке их урегулирования;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 поведение, которое может быть воспринято как согласие принять взятку или как просьба о даче взятки, в которую следует включить описание выражений, тем для разговора, предложений и действий, указанных в </w:t>
      </w:r>
      <w:hyperlink w:anchor="Par114" w:history="1">
        <w:r>
          <w:rPr>
            <w:rFonts w:ascii="Arial" w:hAnsi="Arial" w:cs="Arial"/>
            <w:color w:val="0000FF"/>
            <w:sz w:val="20"/>
            <w:szCs w:val="20"/>
          </w:rPr>
          <w:t>подпункте 3 раздела 2</w:t>
        </w:r>
      </w:hyperlink>
      <w:r>
        <w:rPr>
          <w:rFonts w:ascii="Arial" w:hAnsi="Arial" w:cs="Arial"/>
          <w:sz w:val="20"/>
          <w:szCs w:val="20"/>
        </w:rPr>
        <w:t xml:space="preserve"> настоящего комплекса мер.</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Закрепление в локальных правовых актах этических норм поведения служащих и работников, процедур и форм соблюдения служащими и работниками ограничений, запретов и обязанностей, установленных законодательством о противодействии коррупции.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организации мероприятий по обозначенному направлению следует обратить внимание на необходимость своевременной регламентации локальными правовыми актами процедур и форм соблюдения служащими и работниками требований к служебному поведению.</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 начальном этапе разработки акта рекомендуется обеспечить информирование государственных (муниципальных) служащих о возможности участия в его подготовке. Для обсуждения полученных замечаний и предложений служащих или работников по проекту локального правового акта при необходимости проводить рабочую встречу с работниками или служащими.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отношении принятых локальных правовых актов рекомендуется не реже одного раза в год проводить обсуждения практики применения локальных правовых актов со служащими и работниками органа государственной власти, местного самоуправления, государственного внебюджетного фонда и организации. В ходе встречи предлагается обсуждать прежде всего те трудности, с которыми служащие и работники сталкиваются на практике при реализации тех или иных положений правовых актов (представление сведений о доходах, расходах, об имуществе и обязательствах имущественного характера; определение наличия личной заинтересованности, которая приводит или может привести к конфликту интересов, и т.д.). По итогам указанных обсуждений следует актуализировать положения локальных правовых актов.</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К вопросам, которые необходимо регламентировать локальными правовыми актами, в частности следует отнести вопрос о </w:t>
      </w:r>
      <w:hyperlink r:id="rId50" w:history="1">
        <w:r>
          <w:rPr>
            <w:rFonts w:ascii="Arial" w:hAnsi="Arial" w:cs="Arial"/>
            <w:color w:val="0000FF"/>
            <w:sz w:val="20"/>
            <w:szCs w:val="20"/>
          </w:rPr>
          <w:t>порядке уведомления</w:t>
        </w:r>
      </w:hyperlink>
      <w:r>
        <w:rPr>
          <w:rFonts w:ascii="Arial" w:hAnsi="Arial" w:cs="Arial"/>
          <w:sz w:val="20"/>
          <w:szCs w:val="20"/>
        </w:rPr>
        <w:t xml:space="preserve"> представителя нанимателя (работодателя) о фактах склонения к коррупционным правонарушениям.</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При разработке указанного акта о порядке уведомления о фактах склонения служащего или работника к совершению коррупционного правонарушения уделить особое внимание механизмам защиты заявителей. Наличие эффективных механизмов защиты будет стимулировать служащих и работников не только отказываться от предложений взятки, но и сообщать о лицах, ее предложивших.</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связи с этим необходимо, в частности: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закрепить требования о конфиденциальности информации о личности заявителя;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установить режим доступа к журналу входящей корреспонденции, содержащему данные, позволяющие идентифицировать личность заявителя;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включить в этический кодекс государственного органа, государственного внебюджетного фонда и организации положение о том, что служащие и работники должны воздерживаться от поведения (высказываний, жестов, действий), которое может быть воспринято окружающими как согласие принять взятку или как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Обеспечение открытости деятельности органов государственной власти, местного самоуправления, государственных внебюджетных фондов и иных организаций, включая внедрение мер общественного контроля.</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число мер по реализации данного направления необходимо включить следующие.</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Разместить в местах предоставления государственных услуг и в иных служебных помещениях, где на регулярной основе осуществляется взаимодействие граждан с организациями, объявления (плакаты), указывающие на то, что:</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дача взятки должностному лицу наказывается лишением свободы;</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предложение должностному лицу денег или имущества, а также выгод или услуг имущественного характера могут быть истолкованы как покушение на дачу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государственному служащему запрещается принимать подарки в связи с исполнением служебных обязанностей вне зависимости от стоимости подарка.</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Разместить на официальном сайте государственного органа, государственного внебюджетного фонда и организации, распространить в электронной и в печатной форме памятки и иные методические материалы для служащих и работников.</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Обеспечить возможности для граждан и организаций беспрепятственно направлять свои обращения в федеральный государственный орган (информация о работе "горячей линии", "телефона доверия", отправке почтовых сообщений, форма по отправке сообщений граждан и организаций через официальный сайт). Обращение гражданина может быть составлено в виде электронного документа и подписано электронной подписью.</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Оборудовать места предоставления государственных услуг средствами, позволяющими избежать проявлений служащими и работниками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autoSpaceDE w:val="0"/>
        <w:autoSpaceDN w:val="0"/>
        <w:adjustRightInd w:val="0"/>
        <w:spacing w:after="0" w:line="240" w:lineRule="auto"/>
        <w:ind w:firstLine="540"/>
        <w:jc w:val="both"/>
        <w:rPr>
          <w:rFonts w:ascii="Arial" w:hAnsi="Arial" w:cs="Arial"/>
          <w:sz w:val="20"/>
          <w:szCs w:val="20"/>
        </w:rPr>
      </w:pPr>
    </w:p>
    <w:p w:rsidR="00E30A10" w:rsidRDefault="00E30A10" w:rsidP="00E30A10">
      <w:pPr>
        <w:pBdr>
          <w:top w:val="single" w:sz="6" w:space="0" w:color="auto"/>
        </w:pBdr>
        <w:autoSpaceDE w:val="0"/>
        <w:autoSpaceDN w:val="0"/>
        <w:adjustRightInd w:val="0"/>
        <w:spacing w:before="100" w:after="100" w:line="240" w:lineRule="auto"/>
        <w:jc w:val="both"/>
        <w:rPr>
          <w:rFonts w:ascii="Arial" w:hAnsi="Arial" w:cs="Arial"/>
          <w:sz w:val="2"/>
          <w:szCs w:val="2"/>
        </w:rPr>
      </w:pPr>
    </w:p>
    <w:p w:rsidR="004D300B" w:rsidRDefault="004D300B">
      <w:bookmarkStart w:id="2" w:name="_GoBack"/>
      <w:bookmarkEnd w:id="2"/>
    </w:p>
    <w:sectPr w:rsidR="004D300B" w:rsidSect="00ED5F62">
      <w:pgSz w:w="11906" w:h="16838"/>
      <w:pgMar w:top="1440" w:right="566" w:bottom="1440" w:left="1133"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CA1"/>
    <w:rsid w:val="003B3CA1"/>
    <w:rsid w:val="004D300B"/>
    <w:rsid w:val="00E30A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F98F467BED7C1C73BA15726BCADEA73028EF5E0B63FEFDB8F18BFFC9FB0708A317838B9B8FF3D9K" TargetMode="External"/><Relationship Id="rId18" Type="http://schemas.openxmlformats.org/officeDocument/2006/relationships/hyperlink" Target="consultantplus://offline/ref=F98F467BED7C1C73BA15726BCADEA73028EF5E0B63FEFDB8F18BFFC9FB0708A317838B9A87F3D4K" TargetMode="External"/><Relationship Id="rId26" Type="http://schemas.openxmlformats.org/officeDocument/2006/relationships/hyperlink" Target="consultantplus://offline/ref=F98F467BED7C1C73BA15726BCADEA73028EF5E0B63FEFDB8F18BFFC9FB0708A317838B9B81F3DBK" TargetMode="External"/><Relationship Id="rId39" Type="http://schemas.openxmlformats.org/officeDocument/2006/relationships/hyperlink" Target="consultantplus://offline/ref=F98F467BED7C1C73BA15726BCADEA73028EF5E0B63FEFDB8F18BFFC9FB0708A317838B9B81F3DBK" TargetMode="External"/><Relationship Id="rId3" Type="http://schemas.openxmlformats.org/officeDocument/2006/relationships/settings" Target="settings.xml"/><Relationship Id="rId21" Type="http://schemas.openxmlformats.org/officeDocument/2006/relationships/hyperlink" Target="consultantplus://offline/ref=F98F467BED7C1C73BA15726BCADEA73028EF5E0B63FEFDB8F18BFFC9FB0708A317838B9B82F3DDK" TargetMode="External"/><Relationship Id="rId34" Type="http://schemas.openxmlformats.org/officeDocument/2006/relationships/hyperlink" Target="consultantplus://offline/ref=F98F467BED7C1C73BA15726BCADEA73028EF5E0B63FEFDB8F18BFFC9FB0708A317838B9B8FF3DEK" TargetMode="External"/><Relationship Id="rId42" Type="http://schemas.openxmlformats.org/officeDocument/2006/relationships/hyperlink" Target="consultantplus://offline/ref=F98F467BED7C1C73BA15726BCADEA7302BEC590E6BF4FDB8F18BFFC9FB0708A317838B9E873D74B0FEDFK" TargetMode="External"/><Relationship Id="rId47" Type="http://schemas.openxmlformats.org/officeDocument/2006/relationships/hyperlink" Target="consultantplus://offline/ref=F98F467BED7C1C73BA15726BCADEA7302BEC590E6BF4FDB8F18BFFC9FB0708A317838B9E873D74B1FED8K" TargetMode="External"/><Relationship Id="rId50" Type="http://schemas.openxmlformats.org/officeDocument/2006/relationships/hyperlink" Target="consultantplus://offline/ref=F98F467BED7C1C73BA15726BCADEA73028EF590A6DFFFDB8F18BFFC9FB0708A317838B9E873D74BBFED1K" TargetMode="External"/><Relationship Id="rId7" Type="http://schemas.openxmlformats.org/officeDocument/2006/relationships/hyperlink" Target="consultantplus://offline/ref=F98F467BED7C1C73BA15726BCADEA7302BEB5A096DF6FDB8F18BFFC9FB0708A317838B9E873D75B5FEDCK" TargetMode="External"/><Relationship Id="rId12" Type="http://schemas.openxmlformats.org/officeDocument/2006/relationships/hyperlink" Target="consultantplus://offline/ref=F98F467BED7C1C73BA15726BCADEA73028EF5E0B63FEFDB8F18BFFC9FB0708A317838B9B8FF3DEK" TargetMode="External"/><Relationship Id="rId17" Type="http://schemas.openxmlformats.org/officeDocument/2006/relationships/hyperlink" Target="consultantplus://offline/ref=F98F467BED7C1C73BA15726BCADEA73028EF5E0B63FEFDB8F18BFFC9FB0708A317838B9A87F3D4K" TargetMode="External"/><Relationship Id="rId25" Type="http://schemas.openxmlformats.org/officeDocument/2006/relationships/hyperlink" Target="consultantplus://offline/ref=F98F467BED7C1C73BA15726BCADEA7302BEA5C0B6EFEFDB8F18BFFC9FB0708A317838B9E873D74B6FEDFK" TargetMode="External"/><Relationship Id="rId33" Type="http://schemas.openxmlformats.org/officeDocument/2006/relationships/hyperlink" Target="consultantplus://offline/ref=F98F467BED7C1C73BA15726BCADEA73028EF5D0769F3FDB8F18BFFC9FB0708A317838B9D813EF7D4K" TargetMode="External"/><Relationship Id="rId38" Type="http://schemas.openxmlformats.org/officeDocument/2006/relationships/hyperlink" Target="consultantplus://offline/ref=F98F467BED7C1C73BA15726BCADEA73028EF5D0769F3FDB8F18BFFC9FB0708A317838B9D813FF7D4K" TargetMode="External"/><Relationship Id="rId46" Type="http://schemas.openxmlformats.org/officeDocument/2006/relationships/hyperlink" Target="consultantplus://offline/ref=F98F467BED7C1C73BA15726BCADEA73028EF5D0769F3FDB8F18BFFC9FB0708A317838B9D813FF7D4K" TargetMode="External"/><Relationship Id="rId2" Type="http://schemas.microsoft.com/office/2007/relationships/stylesWithEffects" Target="stylesWithEffects.xml"/><Relationship Id="rId16" Type="http://schemas.openxmlformats.org/officeDocument/2006/relationships/hyperlink" Target="consultantplus://offline/ref=F98F467BED7C1C73BA15726BCADEA73028EF5E0B63FEFDB8F18BFFC9FB0708A317838B9B8EF3D5K" TargetMode="External"/><Relationship Id="rId20" Type="http://schemas.openxmlformats.org/officeDocument/2006/relationships/hyperlink" Target="consultantplus://offline/ref=F98F467BED7C1C73BA15726BCADEA73028EF5E0B63FEFDB8F18BFFC9FBF0D7K" TargetMode="External"/><Relationship Id="rId29" Type="http://schemas.openxmlformats.org/officeDocument/2006/relationships/hyperlink" Target="consultantplus://offline/ref=F98F467BED7C1C73BA15726BCADEA73028EF5E0B63FEFDB8F18BFFC9FB0708A317838B9E873D71B0FED8K" TargetMode="External"/><Relationship Id="rId41" Type="http://schemas.openxmlformats.org/officeDocument/2006/relationships/hyperlink" Target="consultantplus://offline/ref=F98F467BED7C1C73BA15726BCADEA7302BEC590E6BF4FDB8F18BFFC9FB0708A317838B9E873D74B1FEDCK" TargetMode="External"/><Relationship Id="rId1" Type="http://schemas.openxmlformats.org/officeDocument/2006/relationships/styles" Target="styles.xml"/><Relationship Id="rId6" Type="http://schemas.openxmlformats.org/officeDocument/2006/relationships/hyperlink" Target="consultantplus://offline/ref=F98F467BED7C1C73BA15726BCADEA7302BEB5A096DF6FDB8F18BFFC9FB0708A317838B9E873D75B5FEDDK" TargetMode="External"/><Relationship Id="rId11" Type="http://schemas.openxmlformats.org/officeDocument/2006/relationships/hyperlink" Target="consultantplus://offline/ref=F98F467BED7C1C73BA15726BCADEA73028EF5E0B63FEFDB8F18BFFC9FBF0D7K" TargetMode="External"/><Relationship Id="rId24" Type="http://schemas.openxmlformats.org/officeDocument/2006/relationships/hyperlink" Target="consultantplus://offline/ref=F98F467BED7C1C73BA15726BCADEA73028EF5E0B63FEFDB8F18BFFC9FB0708A317838B9B8EF3DAK" TargetMode="External"/><Relationship Id="rId32" Type="http://schemas.openxmlformats.org/officeDocument/2006/relationships/hyperlink" Target="consultantplus://offline/ref=F98F467BED7C1C73BA15726BCADEA73028EF5D0769F3FDB8F18BFFC9FB0708A317838B9D813FF7D4K" TargetMode="External"/><Relationship Id="rId37" Type="http://schemas.openxmlformats.org/officeDocument/2006/relationships/hyperlink" Target="consultantplus://offline/ref=F98F467BED7C1C73BA15726BCADEA7302BEC590E6BF4FDB8F18BFFC9FB0708A317838B9E873D74B1FED8K" TargetMode="External"/><Relationship Id="rId40" Type="http://schemas.openxmlformats.org/officeDocument/2006/relationships/hyperlink" Target="consultantplus://offline/ref=F98F467BED7C1C73BA15726BCADEA73028EF5E0B63FEFDB8F18BFFC9FB0708A317838B9E873D75B1FED9K" TargetMode="External"/><Relationship Id="rId45" Type="http://schemas.openxmlformats.org/officeDocument/2006/relationships/hyperlink" Target="consultantplus://offline/ref=F98F467BED7C1C73BA15726BCADEA73028EF5E0B63FEFDB8F18BFFC9FB0708A317838B9B8EF3D5K"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F98F467BED7C1C73BA15726BCADEA73028EF5E0B63FEFDB8F18BFFC9FBF0D7K" TargetMode="External"/><Relationship Id="rId23" Type="http://schemas.openxmlformats.org/officeDocument/2006/relationships/hyperlink" Target="consultantplus://offline/ref=F98F467BED7C1C73BA15726BCADEA73028EF5E0B63FEFDB8F18BFFC9FB0708A317838B9B8FF3D9K" TargetMode="External"/><Relationship Id="rId28" Type="http://schemas.openxmlformats.org/officeDocument/2006/relationships/hyperlink" Target="consultantplus://offline/ref=F98F467BED7C1C73BA15726BCADEA73028EF5E0B63FEFDB8F18BFFC9FB0708A317838B9B82F3D4K" TargetMode="External"/><Relationship Id="rId36" Type="http://schemas.openxmlformats.org/officeDocument/2006/relationships/hyperlink" Target="consultantplus://offline/ref=F98F467BED7C1C73BA15726BCADEA73028EF590A6DFFFDB8F18BFFC9FB0708A317838B9E873D74B7FEDEK" TargetMode="External"/><Relationship Id="rId49" Type="http://schemas.openxmlformats.org/officeDocument/2006/relationships/hyperlink" Target="consultantplus://offline/ref=F98F467BED7C1C73BA15726BCADEA7302BEC590E6BF4FDB8F18BFFC9FB0708A317838B9E873D74B0FEDFK" TargetMode="External"/><Relationship Id="rId10" Type="http://schemas.openxmlformats.org/officeDocument/2006/relationships/hyperlink" Target="consultantplus://offline/ref=F98F467BED7C1C73BA15726BCADEA7302BE95A066EF6FDB8F18BFFC9FBF0D7K" TargetMode="External"/><Relationship Id="rId19" Type="http://schemas.openxmlformats.org/officeDocument/2006/relationships/hyperlink" Target="consultantplus://offline/ref=F98F467BED7C1C73BA15726BCADEA73028EF5E0B63FEFDB8F18BFFC9FB0708A317838B9B8EF3D4K" TargetMode="External"/><Relationship Id="rId31" Type="http://schemas.openxmlformats.org/officeDocument/2006/relationships/hyperlink" Target="consultantplus://offline/ref=F98F467BED7C1C73BA15726BCADEA7302BE95A066EF6FDB8F18BFFC9FBF0D7K" TargetMode="External"/><Relationship Id="rId44" Type="http://schemas.openxmlformats.org/officeDocument/2006/relationships/hyperlink" Target="consultantplus://offline/ref=F98F467BED7C1C73BA15726BCADEA73028EF5E0B63FEFDB8F18BFFC9FB0708A317838B9B8FF3D9K"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F98F467BED7C1C73BA157764C9DEA7302EE95F0960A0AABAA0DEF1CCF35740B359C6869F833BF7DDK" TargetMode="External"/><Relationship Id="rId14" Type="http://schemas.openxmlformats.org/officeDocument/2006/relationships/hyperlink" Target="consultantplus://offline/ref=F98F467BED7C1C73BA15726BCADEA73028EF5E0B63FEFDB8F18BFFC9FB0708A317838B9B8EF3D5K" TargetMode="External"/><Relationship Id="rId22" Type="http://schemas.openxmlformats.org/officeDocument/2006/relationships/hyperlink" Target="consultantplus://offline/ref=F98F467BED7C1C73BA15726BCADEA73028EF5E0B63FEFDB8F18BFFC9FB0708A317838B9B81F3DBK" TargetMode="External"/><Relationship Id="rId27" Type="http://schemas.openxmlformats.org/officeDocument/2006/relationships/hyperlink" Target="consultantplus://offline/ref=F98F467BED7C1C73BA15726BCADEA73028EF5E0B63FEFDB8F18BFFC9FB0708A317838B9B82F3DAK" TargetMode="External"/><Relationship Id="rId30" Type="http://schemas.openxmlformats.org/officeDocument/2006/relationships/hyperlink" Target="consultantplus://offline/ref=F98F467BED7C1C73BA15726BCADEA73028EF5D0769F3FDB8F18BFFC9FBF0D7K" TargetMode="External"/><Relationship Id="rId35" Type="http://schemas.openxmlformats.org/officeDocument/2006/relationships/hyperlink" Target="consultantplus://offline/ref=F98F467BED7C1C73BA157764C9DEA7302DEA5B0D60A0AABAA0DEF1FCDCK" TargetMode="External"/><Relationship Id="rId43" Type="http://schemas.openxmlformats.org/officeDocument/2006/relationships/hyperlink" Target="consultantplus://offline/ref=F98F467BED7C1C73BA15726BCADEA73028EF5E0B63FEFDB8F18BFFC9FB0708A317838B9B81F3DBK" TargetMode="External"/><Relationship Id="rId48" Type="http://schemas.openxmlformats.org/officeDocument/2006/relationships/hyperlink" Target="consultantplus://offline/ref=F98F467BED7C1C73BA15726BCADEA7302BEC590E6BF4FDB8F18BFFC9FB0708A317838B9E873D74B1FEDCK" TargetMode="External"/><Relationship Id="rId8" Type="http://schemas.openxmlformats.org/officeDocument/2006/relationships/hyperlink" Target="consultantplus://offline/ref=F98F467BED7C1C73BA157764C9DEA7302DEA5B0D60A0AABAA0DEF1FCDCK" TargetMode="External"/><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5934</Words>
  <Characters>33829</Characters>
  <Application>Microsoft Office Word</Application>
  <DocSecurity>0</DocSecurity>
  <Lines>281</Lines>
  <Paragraphs>79</Paragraphs>
  <ScaleCrop>false</ScaleCrop>
  <Company/>
  <LinksUpToDate>false</LinksUpToDate>
  <CharactersWithSpaces>39684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БЛИНКОВ Владимир Вячеславович</dc:creator>
  <cp:keywords/>
  <dc:description/>
  <cp:lastModifiedBy>БЛИНКОВ Владимир Вячеславович</cp:lastModifiedBy>
  <cp:revision>2</cp:revision>
  <dcterms:created xsi:type="dcterms:W3CDTF">2017-01-19T10:03:00Z</dcterms:created>
  <dcterms:modified xsi:type="dcterms:W3CDTF">2017-01-19T10:03:00Z</dcterms:modified>
</cp:coreProperties>
</file>