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rFonts w:eastAsia="Arial" w:cs="Arial"/>
          <w:sz w:val="22"/>
          <w:szCs w:val="22"/>
        </w:rPr>
      </w:pPr>
      <w:r>
        <w:rPr>
          <w:rFonts w:eastAsia="Arial" w:cs="Arial"/>
          <w:sz w:val="22"/>
          <w:szCs w:val="22"/>
        </w:rPr>
      </w:r>
    </w:p>
    <w:p>
      <w:pPr>
        <w:pStyle w:val="Normal"/>
        <w:rPr>
          <w:u w:val="single"/>
        </w:rPr>
      </w:pPr>
      <w:r>
        <w:rPr>
          <w:rFonts w:eastAsia="Arial" w:cs="Arial"/>
          <w:sz w:val="22"/>
          <w:szCs w:val="22"/>
          <w:u w:val="single"/>
        </w:rPr>
        <w:t>Февраль   2019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FFFFFF"/>
        <w:spacing w:lineRule="auto" w:line="360"/>
        <w:jc w:val="both"/>
        <w:rPr/>
      </w:pPr>
      <w:r>
        <w:rPr>
          <w:rFonts w:eastAsia="Times New Roman" w:ascii="Times New Roman" w:hAnsi="Times New Roman"/>
          <w:color w:val="3333FF"/>
          <w:sz w:val="26"/>
          <w:szCs w:val="26"/>
          <w:shd w:fill="FFFFFF" w:val="clear"/>
        </w:rPr>
        <w:tab/>
        <w:t xml:space="preserve">                              </w:t>
      </w:r>
      <w:r>
        <w:rPr>
          <w:rFonts w:eastAsia="Times New Roman" w:ascii="Times New Roman" w:hAnsi="Times New Roman"/>
          <w:color w:val="000000"/>
          <w:sz w:val="32"/>
          <w:szCs w:val="32"/>
          <w:shd w:fill="FFFFFF" w:val="clear"/>
        </w:rPr>
        <w:t>О  мобильно</w:t>
      </w:r>
      <w:r>
        <w:rPr>
          <w:rFonts w:eastAsia="Times New Roman" w:ascii="Times New Roman" w:hAnsi="Times New Roman"/>
          <w:color w:val="000000"/>
          <w:sz w:val="32"/>
          <w:szCs w:val="32"/>
          <w:shd w:fill="FFFFFF" w:val="clear"/>
          <w:lang w:val="ru-RU"/>
        </w:rPr>
        <w:t>м</w:t>
      </w:r>
      <w:r>
        <w:rPr>
          <w:rFonts w:eastAsia="Times New Roman" w:ascii="Times New Roman" w:hAnsi="Times New Roman"/>
          <w:color w:val="000000"/>
          <w:sz w:val="32"/>
          <w:szCs w:val="32"/>
          <w:shd w:fill="FFFFFF" w:val="clear"/>
        </w:rPr>
        <w:t xml:space="preserve"> приложении ПФР</w:t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ab/>
        <w:t>УПФР в Кировском районе напоминает, что с 2017 года работает</w:t>
      </w:r>
      <w:r>
        <w:rPr>
          <w:rFonts w:ascii="Times New Roman" w:hAnsi="Times New Roman"/>
          <w:color w:val="000000"/>
          <w:sz w:val="26"/>
          <w:szCs w:val="26"/>
        </w:rPr>
        <w:t xml:space="preserve"> Мобильное приложение ПФР для устройств под управлением </w:t>
      </w:r>
      <w:r>
        <w:rPr>
          <w:rFonts w:ascii="Times New Roman" w:hAnsi="Times New Roman"/>
          <w:color w:val="000000"/>
          <w:sz w:val="26"/>
          <w:szCs w:val="26"/>
          <w:lang w:val="en-US"/>
        </w:rPr>
        <w:t>iOS</w:t>
      </w:r>
      <w:r>
        <w:rPr>
          <w:rFonts w:ascii="Times New Roman" w:hAnsi="Times New Roman"/>
          <w:color w:val="000000"/>
          <w:sz w:val="26"/>
          <w:szCs w:val="26"/>
        </w:rPr>
        <w:t xml:space="preserve"> и </w:t>
      </w:r>
      <w:r>
        <w:rPr>
          <w:rFonts w:ascii="Times New Roman" w:hAnsi="Times New Roman"/>
          <w:color w:val="000000"/>
          <w:sz w:val="26"/>
          <w:szCs w:val="26"/>
          <w:lang w:val="en-US"/>
        </w:rPr>
        <w:t>Android</w:t>
      </w:r>
      <w:r>
        <w:rPr>
          <w:rFonts w:ascii="Times New Roman" w:hAnsi="Times New Roman"/>
          <w:color w:val="000000"/>
          <w:sz w:val="26"/>
          <w:szCs w:val="26"/>
        </w:rPr>
        <w:t>.  Мобильное приложение Пенсионного фонда России, позволяет с еще большей легкостью получить информацию о состоянии  индивидуального лицевого счета, проверить учтенные страховые взносы, перечисленные работодателем, а также записаться на прием и заказать нужные документы.</w:t>
      </w:r>
    </w:p>
    <w:p>
      <w:pPr>
        <w:pStyle w:val="Normal"/>
        <w:tabs>
          <w:tab w:val="left" w:pos="709" w:leader="none"/>
          <w:tab w:val="left" w:pos="3437" w:leader="none"/>
        </w:tabs>
        <w:spacing w:lineRule="auto" w:line="276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ab/>
        <w:t xml:space="preserve">Мобильное </w:t>
      </w:r>
      <w:r>
        <w:rPr>
          <w:rFonts w:ascii="Times New Roman" w:hAnsi="Times New Roman"/>
          <w:color w:val="000000"/>
          <w:sz w:val="26"/>
          <w:szCs w:val="26"/>
        </w:rPr>
        <w:t>приложение дает возможность гражданам, имеющим подтвержденную учетную запись в Единой системе идентификации и аутентификации (ЕСИА), воспользоваться следующими электронными сервисами ПФР:</w:t>
      </w:r>
    </w:p>
    <w:p>
      <w:pPr>
        <w:pStyle w:val="ListParagraph"/>
        <w:widowControl/>
        <w:numPr>
          <w:ilvl w:val="0"/>
          <w:numId w:val="1"/>
        </w:numPr>
        <w:tabs>
          <w:tab w:val="left" w:pos="709" w:leader="none"/>
          <w:tab w:val="left" w:pos="3437" w:leader="none"/>
        </w:tabs>
        <w:suppressAutoHyphens w:val="false"/>
        <w:spacing w:lineRule="auto" w:line="276" w:before="0" w:after="0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сведения о состоянии индивидуального лицевого счета;</w:t>
      </w:r>
    </w:p>
    <w:p>
      <w:pPr>
        <w:pStyle w:val="ListParagraph"/>
        <w:widowControl/>
        <w:numPr>
          <w:ilvl w:val="0"/>
          <w:numId w:val="1"/>
        </w:numPr>
        <w:tabs>
          <w:tab w:val="left" w:pos="709" w:leader="none"/>
          <w:tab w:val="left" w:pos="3437" w:leader="none"/>
        </w:tabs>
        <w:suppressAutoHyphens w:val="false"/>
        <w:spacing w:lineRule="auto" w:line="276" w:before="0" w:after="0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сведения о назначенной пенсии и установленных социальных выплатах;</w:t>
      </w:r>
    </w:p>
    <w:p>
      <w:pPr>
        <w:pStyle w:val="ListParagraph"/>
        <w:widowControl/>
        <w:numPr>
          <w:ilvl w:val="0"/>
          <w:numId w:val="1"/>
        </w:numPr>
        <w:tabs>
          <w:tab w:val="left" w:pos="709" w:leader="none"/>
          <w:tab w:val="left" w:pos="3437" w:leader="none"/>
        </w:tabs>
        <w:suppressAutoHyphens w:val="false"/>
        <w:spacing w:lineRule="auto" w:line="276" w:before="0" w:after="0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сведения о размере (остатке) материнского (семейного) капитала;</w:t>
      </w:r>
    </w:p>
    <w:p>
      <w:pPr>
        <w:pStyle w:val="ListParagraph"/>
        <w:widowControl/>
        <w:numPr>
          <w:ilvl w:val="0"/>
          <w:numId w:val="1"/>
        </w:numPr>
        <w:tabs>
          <w:tab w:val="left" w:pos="709" w:leader="none"/>
          <w:tab w:val="left" w:pos="3437" w:leader="none"/>
        </w:tabs>
        <w:suppressAutoHyphens w:val="false"/>
        <w:spacing w:lineRule="auto" w:line="276" w:before="0" w:after="0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поиск клиентской службы;</w:t>
      </w:r>
    </w:p>
    <w:p>
      <w:pPr>
        <w:pStyle w:val="ListParagraph"/>
        <w:widowControl/>
        <w:numPr>
          <w:ilvl w:val="0"/>
          <w:numId w:val="1"/>
        </w:numPr>
        <w:tabs>
          <w:tab w:val="left" w:pos="709" w:leader="none"/>
          <w:tab w:val="left" w:pos="3437" w:leader="none"/>
        </w:tabs>
        <w:suppressAutoHyphens w:val="false"/>
        <w:spacing w:lineRule="auto" w:line="276" w:before="0" w:after="0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запись на прием;</w:t>
      </w:r>
    </w:p>
    <w:p>
      <w:pPr>
        <w:pStyle w:val="ListParagraph"/>
        <w:widowControl/>
        <w:numPr>
          <w:ilvl w:val="0"/>
          <w:numId w:val="1"/>
        </w:numPr>
        <w:tabs>
          <w:tab w:val="left" w:pos="709" w:leader="none"/>
          <w:tab w:val="left" w:pos="3437" w:leader="none"/>
        </w:tabs>
        <w:suppressAutoHyphens w:val="false"/>
        <w:spacing w:lineRule="auto" w:line="276" w:before="0" w:after="0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направить обращение;</w:t>
      </w:r>
    </w:p>
    <w:p>
      <w:pPr>
        <w:pStyle w:val="ListParagraph"/>
        <w:widowControl/>
        <w:numPr>
          <w:ilvl w:val="0"/>
          <w:numId w:val="1"/>
        </w:numPr>
        <w:tabs>
          <w:tab w:val="left" w:pos="709" w:leader="none"/>
          <w:tab w:val="left" w:pos="3437" w:leader="none"/>
        </w:tabs>
        <w:suppressAutoHyphens w:val="false"/>
        <w:spacing w:lineRule="auto" w:line="276" w:before="0" w:after="0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заказ справок и документов;</w:t>
      </w:r>
    </w:p>
    <w:p>
      <w:pPr>
        <w:pStyle w:val="ListParagraph"/>
        <w:widowControl/>
        <w:numPr>
          <w:ilvl w:val="0"/>
          <w:numId w:val="1"/>
        </w:numPr>
        <w:tabs>
          <w:tab w:val="left" w:pos="709" w:leader="none"/>
          <w:tab w:val="left" w:pos="3437" w:leader="none"/>
        </w:tabs>
        <w:suppressAutoHyphens w:val="false"/>
        <w:spacing w:lineRule="auto" w:line="276" w:before="0" w:after="0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перенос/отмена записи на прием и заказа документов;</w:t>
      </w:r>
    </w:p>
    <w:p>
      <w:pPr>
        <w:pStyle w:val="ListParagraph"/>
        <w:widowControl/>
        <w:numPr>
          <w:ilvl w:val="0"/>
          <w:numId w:val="1"/>
        </w:numPr>
        <w:tabs>
          <w:tab w:val="left" w:pos="709" w:leader="none"/>
          <w:tab w:val="left" w:pos="3437" w:leader="none"/>
        </w:tabs>
        <w:suppressAutoHyphens w:val="false"/>
        <w:spacing w:lineRule="auto" w:line="276" w:before="0" w:after="0"/>
        <w:contextualSpacing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>узнать о накопленных баллах и стаже.</w:t>
      </w:r>
    </w:p>
    <w:p>
      <w:pPr>
        <w:pStyle w:val="Style14"/>
        <w:tabs>
          <w:tab w:val="left" w:pos="709" w:leader="none"/>
        </w:tabs>
        <w:suppressAutoHyphens w:val="false"/>
        <w:spacing w:lineRule="auto" w:line="276" w:before="0" w:after="0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  <w:t>Для входа в приложение необходимо ввести четырехзначный пин-код и пройти в авторизацию с помощью подтвержденной учетной записи на портале госуслуг. Подтвердить упрощенную или стандартную учетную запись можно в офисах Почты России, Ростелекома или в Центрах обслуживания (ЦО), организованных в том числе в территориальных органах ПФР по Астраханской области.</w:t>
      </w:r>
    </w:p>
    <w:p>
      <w:pPr>
        <w:pStyle w:val="Style14"/>
        <w:tabs>
          <w:tab w:val="left" w:pos="709" w:leader="none"/>
        </w:tabs>
        <w:suppressAutoHyphens w:val="false"/>
        <w:spacing w:lineRule="auto" w:line="276" w:before="0" w:after="0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  <w:t xml:space="preserve">В дальнейшем вход осуществляется через пин-код. </w:t>
      </w:r>
    </w:p>
    <w:p>
      <w:pPr>
        <w:pStyle w:val="Style14"/>
        <w:tabs>
          <w:tab w:val="left" w:pos="709" w:leader="none"/>
        </w:tabs>
        <w:suppressAutoHyphens w:val="false"/>
        <w:spacing w:lineRule="auto" w:line="276" w:before="0" w:after="0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  <w:t xml:space="preserve">В тоже время ряд услуг, доступных через приложение, доступен и без авторизации на портале госуслуг. Так, с использованием службы геолокации приложение найдет ближайшую клиентскую службу Пенсионного фонда или МФЦ и предоставит возможность записаться на прием. </w:t>
      </w:r>
      <w:r>
        <w:rPr>
          <w:rFonts w:eastAsia="Times New Roman" w:ascii="Times New Roman" w:hAnsi="Times New Roman"/>
          <w:color w:val="000000"/>
          <w:sz w:val="26"/>
          <w:szCs w:val="26"/>
        </w:rPr>
        <w:tab/>
      </w:r>
      <w:r>
        <w:rPr>
          <w:rFonts w:eastAsia="Times New Roman" w:ascii="Times New Roman" w:hAnsi="Times New Roman"/>
          <w:b/>
          <w:bCs/>
          <w:color w:val="000000"/>
          <w:sz w:val="26"/>
          <w:szCs w:val="26"/>
        </w:rPr>
        <w:t xml:space="preserve">                                                          </w:t>
      </w:r>
      <w:r>
        <w:rPr>
          <w:rFonts w:eastAsia="Times New Roman" w:ascii="Times New Roman" w:hAnsi="Times New Roman"/>
          <w:iCs/>
          <w:color w:val="000000"/>
          <w:sz w:val="26"/>
          <w:szCs w:val="26"/>
        </w:rPr>
        <w:t xml:space="preserve"> </w:t>
      </w:r>
    </w:p>
    <w:p>
      <w:pPr>
        <w:pStyle w:val="Standard"/>
        <w:rPr>
          <w:color w:val="3333FF"/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Начальник УПФР                                                                                                      </w:t>
      </w:r>
      <w:r>
        <w:rPr>
          <w:rFonts w:eastAsia="Arial"/>
          <w:bCs/>
          <w:color w:val="000000"/>
          <w:sz w:val="26"/>
          <w:szCs w:val="26"/>
        </w:rPr>
        <w:t>О.Е.Моисеева</w:t>
      </w:r>
    </w:p>
    <w:p>
      <w:pPr>
        <w:pStyle w:val="Standard"/>
        <w:rPr>
          <w:color w:val="000000"/>
        </w:rPr>
      </w:pPr>
      <w:r>
        <w:rPr>
          <w:color w:val="000000"/>
        </w:rPr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6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auto"/>
      <w:kern w:val="2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character" w:styleId="ListLabel1">
    <w:name w:val="ListLabel 1"/>
    <w:qFormat/>
    <w:rPr>
      <w:rFonts w:cs="Wingdings"/>
      <w:sz w:val="24"/>
      <w:szCs w:val="24"/>
    </w:rPr>
  </w:style>
  <w:style w:type="character" w:styleId="ListLabel2">
    <w:name w:val="ListLabel 2"/>
    <w:qFormat/>
    <w:rPr>
      <w:rFonts w:cs="Wingdings"/>
      <w:sz w:val="24"/>
      <w:szCs w:val="24"/>
    </w:rPr>
  </w:style>
  <w:style w:type="character" w:styleId="ListLabel3">
    <w:name w:val="ListLabel 3"/>
    <w:qFormat/>
    <w:rPr>
      <w:rFonts w:cs="Wingdings"/>
      <w:sz w:val="24"/>
      <w:szCs w:val="24"/>
    </w:rPr>
  </w:style>
  <w:style w:type="character" w:styleId="ListLabel4">
    <w:name w:val="ListLabel 4"/>
    <w:qFormat/>
    <w:rPr>
      <w:rFonts w:cs="Wingdings"/>
      <w:sz w:val="24"/>
      <w:szCs w:val="24"/>
    </w:rPr>
  </w:style>
  <w:style w:type="character" w:styleId="ListLabel5">
    <w:name w:val="ListLabel 5"/>
    <w:qFormat/>
    <w:rPr>
      <w:rFonts w:cs="Wingdings"/>
      <w:sz w:val="24"/>
      <w:szCs w:val="24"/>
    </w:rPr>
  </w:style>
  <w:style w:type="character" w:styleId="ListLabel6">
    <w:name w:val="ListLabel 6"/>
    <w:qFormat/>
    <w:rPr>
      <w:rFonts w:cs="Wingdings"/>
      <w:sz w:val="24"/>
      <w:szCs w:val="24"/>
    </w:rPr>
  </w:style>
  <w:style w:type="character" w:styleId="ListLabel7">
    <w:name w:val="ListLabel 7"/>
    <w:qFormat/>
    <w:rPr>
      <w:rFonts w:cs="Wingdings"/>
      <w:sz w:val="24"/>
      <w:szCs w:val="24"/>
    </w:rPr>
  </w:style>
  <w:style w:type="character" w:styleId="ListLabel8">
    <w:name w:val="ListLabel 8"/>
    <w:qFormat/>
    <w:rPr>
      <w:rFonts w:cs="Wingdings"/>
      <w:sz w:val="24"/>
      <w:szCs w:val="24"/>
    </w:rPr>
  </w:style>
  <w:style w:type="character" w:styleId="ListLabel9">
    <w:name w:val="ListLabel 9"/>
    <w:qFormat/>
    <w:rPr>
      <w:rFonts w:cs="Wingdings"/>
      <w:sz w:val="24"/>
      <w:szCs w:val="24"/>
    </w:rPr>
  </w:style>
  <w:style w:type="character" w:styleId="ListLabel10">
    <w:name w:val="ListLabel 10"/>
    <w:qFormat/>
    <w:rPr>
      <w:rFonts w:cs="Wingdings"/>
      <w:color w:val="3333FF"/>
      <w:sz w:val="26"/>
      <w:szCs w:val="26"/>
    </w:rPr>
  </w:style>
  <w:style w:type="character" w:styleId="ListLabel11">
    <w:name w:val="ListLabel 11"/>
    <w:qFormat/>
    <w:rPr>
      <w:rFonts w:cs="Wingdings"/>
      <w:color w:val="3333FF"/>
      <w:sz w:val="26"/>
      <w:szCs w:val="26"/>
    </w:rPr>
  </w:style>
  <w:style w:type="character" w:styleId="ListLabel12">
    <w:name w:val="ListLabel 12"/>
    <w:qFormat/>
    <w:rPr>
      <w:rFonts w:cs="Wingdings"/>
      <w:color w:val="3333FF"/>
      <w:sz w:val="26"/>
      <w:szCs w:val="26"/>
    </w:rPr>
  </w:style>
  <w:style w:type="character" w:styleId="ListLabel13">
    <w:name w:val="ListLabel 13"/>
    <w:qFormat/>
    <w:rPr>
      <w:rFonts w:cs="Wingdings"/>
      <w:color w:val="3333FF"/>
      <w:sz w:val="26"/>
      <w:szCs w:val="26"/>
    </w:rPr>
  </w:style>
  <w:style w:type="character" w:styleId="ListLabel14">
    <w:name w:val="ListLabel 14"/>
    <w:qFormat/>
    <w:rPr>
      <w:rFonts w:cs="Wingdings"/>
      <w:color w:val="3333FF"/>
      <w:sz w:val="26"/>
      <w:szCs w:val="26"/>
    </w:rPr>
  </w:style>
  <w:style w:type="character" w:styleId="ListLabel15">
    <w:name w:val="ListLabel 15"/>
    <w:qFormat/>
    <w:rPr>
      <w:rFonts w:cs="Wingdings"/>
      <w:color w:val="3333FF"/>
      <w:sz w:val="26"/>
      <w:szCs w:val="26"/>
    </w:rPr>
  </w:style>
  <w:style w:type="character" w:styleId="ListLabel16">
    <w:name w:val="ListLabel 16"/>
    <w:qFormat/>
    <w:rPr>
      <w:rFonts w:cs="Wingdings"/>
      <w:color w:val="3333FF"/>
      <w:sz w:val="26"/>
      <w:szCs w:val="26"/>
    </w:rPr>
  </w:style>
  <w:style w:type="character" w:styleId="ListLabel17">
    <w:name w:val="ListLabel 17"/>
    <w:qFormat/>
    <w:rPr>
      <w:rFonts w:cs="Wingdings"/>
      <w:color w:val="3333FF"/>
      <w:sz w:val="26"/>
      <w:szCs w:val="26"/>
    </w:rPr>
  </w:style>
  <w:style w:type="character" w:styleId="ListLabel18">
    <w:name w:val="ListLabel 18"/>
    <w:qFormat/>
    <w:rPr>
      <w:rFonts w:cs="Wingdings"/>
      <w:color w:val="3333FF"/>
      <w:sz w:val="26"/>
      <w:szCs w:val="26"/>
    </w:rPr>
  </w:style>
  <w:style w:type="character" w:styleId="ListLabel19">
    <w:name w:val="ListLabel 19"/>
    <w:qFormat/>
    <w:rPr>
      <w:rFonts w:cs="Wingdings"/>
    </w:rPr>
  </w:style>
  <w:style w:type="character" w:styleId="ListLabel20">
    <w:name w:val="ListLabel 20"/>
    <w:qFormat/>
    <w:rPr>
      <w:rFonts w:cs="Wingdings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Wingdings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Wingdings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cs="Wingdings"/>
    </w:rPr>
  </w:style>
  <w:style w:type="character" w:styleId="ListLabel29">
    <w:name w:val="ListLabel 29"/>
    <w:qFormat/>
    <w:rPr>
      <w:rFonts w:cs="Wingdings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Wingdings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Wingdings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ascii="Bookman Old Style" w:hAnsi="Bookman Old Style" w:cs="Bookman Old Style"/>
      <w:sz w:val="20"/>
      <w:szCs w:val="20"/>
    </w:rPr>
  </w:style>
  <w:style w:type="character" w:styleId="ListLabel41">
    <w:name w:val="ListLabel 41"/>
    <w:qFormat/>
    <w:rPr>
      <w:rFonts w:ascii="Bookman Old Style" w:hAnsi="Bookman Old Style" w:eastAsia="Bookman Old Style" w:cs="Bookman Old Style"/>
      <w:sz w:val="20"/>
      <w:szCs w:val="20"/>
    </w:rPr>
  </w:style>
  <w:style w:type="character" w:styleId="ListLabel42">
    <w:name w:val="ListLabel 42"/>
    <w:qFormat/>
    <w:rPr>
      <w:rFonts w:ascii="Times New Roman" w:hAnsi="Times New Roman" w:cs="Symbol"/>
      <w:sz w:val="26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Wingdings"/>
    </w:rPr>
  </w:style>
  <w:style w:type="character" w:styleId="ListLabel45">
    <w:name w:val="ListLabel 45"/>
    <w:qFormat/>
    <w:rPr>
      <w:rFonts w:cs="Symbol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Wingdings"/>
    </w:rPr>
  </w:style>
  <w:style w:type="character" w:styleId="ListLabel48">
    <w:name w:val="ListLabel 48"/>
    <w:qFormat/>
    <w:rPr>
      <w:rFonts w:cs="Symbol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Wingdings"/>
    </w:rPr>
  </w:style>
  <w:style w:type="character" w:styleId="ListLabel51">
    <w:name w:val="ListLabel 51"/>
    <w:qFormat/>
    <w:rPr>
      <w:rFonts w:ascii="Bookman Old Style" w:hAnsi="Bookman Old Style" w:cs="Bookman Old Style"/>
      <w:sz w:val="20"/>
      <w:szCs w:val="20"/>
    </w:rPr>
  </w:style>
  <w:style w:type="character" w:styleId="ListLabel52">
    <w:name w:val="ListLabel 52"/>
    <w:qFormat/>
    <w:rPr>
      <w:rFonts w:ascii="Bookman Old Style" w:hAnsi="Bookman Old Style" w:eastAsia="Bookman Old Style" w:cs="Bookman Old Style"/>
      <w:sz w:val="20"/>
      <w:szCs w:val="20"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auto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auto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bidi w:val="0"/>
      <w:jc w:val="left"/>
    </w:pPr>
    <w:rPr>
      <w:rFonts w:ascii="Arial" w:hAnsi="Arial" w:eastAsia="Arial" w:cs="Tahoma"/>
      <w:color w:val="auto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auto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auto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auto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auto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Application>LibreOffice/6.0.6.2$Windows_x86 LibreOffice_project/0c292870b25a325b5ed35f6b45599d2ea4458e77</Application>
  <Pages>1</Pages>
  <Words>252</Words>
  <Characters>1752</Characters>
  <CharactersWithSpaces>2407</CharactersWithSpaces>
  <Paragraphs>24</Paragraphs>
  <Company>UPFR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2017-03-10T10:34:00Z</dcterms:created>
  <dc:creator>ConsultantPlus</dc:creator>
  <dc:description/>
  <dc:language>ru-RU</dc:language>
  <cp:lastModifiedBy/>
  <cp:lastPrinted>2019-02-05T10:08:15Z</cp:lastPrinted>
  <dcterms:modified xsi:type="dcterms:W3CDTF">2019-02-05T10:09:55Z</dcterms:modified>
  <cp:revision>6</cp:revision>
  <dc:subject/>
  <dc:title>Федеральный закон от 29.12.2006 N 256-ФЗ(ред. от 03.07.2016)"О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UPFR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