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  <w:r>
          <w:rPr>
            <w:rFonts w:eastAsia="Bookman Old Style" w:cs="Bookman Old Style" w:ascii="Bookman Old Style" w:hAnsi="Bookman Old Style"/>
            <w:color w:val="000000"/>
            <w:sz w:val="20"/>
            <w:szCs w:val="20"/>
            <w:lang w:val="en-US"/>
          </w:rPr>
          <w:t>.</w:t>
        </w:r>
        <w:r>
          <w:rPr>
            <w:rFonts w:cs="Bookman Old Style" w:ascii="Bookman Old Style" w:hAnsi="Bookman Old Style"/>
            <w:color w:val="000000"/>
            <w:sz w:val="20"/>
            <w:szCs w:val="20"/>
            <w:lang w:val="en-US"/>
          </w:rPr>
          <w:t>Ru</w:t>
        </w:r>
      </w:hyperlink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>Дека</w:t>
      </w:r>
      <w:r>
        <w:rPr>
          <w:rFonts w:eastAsia="Arial" w:cs="Arial"/>
          <w:sz w:val="22"/>
          <w:szCs w:val="22"/>
          <w:u w:val="single"/>
          <w:lang w:val="ru-RU"/>
        </w:rPr>
        <w:t xml:space="preserve">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rFonts w:eastAsia="Arial" w:cs="Arial"/>
          <w:sz w:val="22"/>
          <w:szCs w:val="22"/>
          <w:u w:val="single"/>
          <w:lang w:val="ru-RU"/>
        </w:rPr>
        <w:t>г</w:t>
      </w:r>
      <w:r>
        <w:rPr>
          <w:rFonts w:eastAsia="Arial" w:cs="Arial"/>
          <w:sz w:val="22"/>
          <w:szCs w:val="22"/>
          <w:u w:val="single"/>
          <w:lang w:val="en-US"/>
        </w:rPr>
        <w:t>.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                 </w:t>
      </w: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Направление материнского капитала на оплату кредита через банки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Утвержденные изменения делают более удобным распоряжение материнским капиталом на самое востребованное у семей направление программы – улучшение жилищных условий с привлечением кредитных средств.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Чтобы оперативнее направлять материнский капитал на погашение кредитов, соответствующее заявление можно будет подавать непосредственно в банке, в котором открывается кредит. То есть вместо двух обращений – в банк и Пенсионный фонд – семье достаточно обратиться только в банк, где одновременно оформляется кредит и подается заявление на погашение кредита или уплату первоначального взноса.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Предоставление данной услуги будет развиваться по мере заключения соглашений между банками и Пенсионным фондом России.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b/>
          <w:b/>
          <w:bCs/>
          <w:i/>
          <w:i/>
          <w:i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для строительства домов на садовых участках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Принятые поправки законодательно закрепили право семей использовать материнский капитал для строительства жилого дома на садовом участке. Необходимым условием при этом, как и раньше, является наличие права собственности на землю и разрешения на   строительство жилья.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Продление программы материнского капитала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Действие программы материнского капитала продлено на пять лет – до конца 2026 года. </w:t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Начальник                                                                                         О.Е.Моисеева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.Ru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Application>LibreOffice/6.4.4.2$Windows_X86_64 LibreOffice_project/3d775be2011f3886db32dfd395a6a6d1ca2630ff</Application>
  <Pages>1</Pages>
  <Words>187</Words>
  <Characters>1399</Characters>
  <CharactersWithSpaces>1991</CharactersWithSpaces>
  <Paragraphs>18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2020-07-15T15:50:33Z</cp:lastPrinted>
  <dcterms:modified xsi:type="dcterms:W3CDTF">2020-12-18T16:30:13Z</dcterms:modified>
  <cp:revision>36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