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ListLabel4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ListLabel4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ListLabel4"/>
            <w:rFonts w:cs="Bookman Old Style" w:ascii="Bookman Old Style" w:hAnsi="Bookman Old Style"/>
            <w:sz w:val="20"/>
            <w:szCs w:val="20"/>
            <w:lang w:val="en-US"/>
          </w:rPr>
          <w:t>pfr</w:t>
        </w:r>
        <w:r>
          <w:rPr>
            <w:rStyle w:val="ListLabel4"/>
            <w:rFonts w:eastAsia="Bookman Old Style" w:cs="Bookman Old Style" w:ascii="Bookman Old Style" w:hAnsi="Bookman Old Style"/>
            <w:color w:val="000000"/>
            <w:sz w:val="20"/>
            <w:szCs w:val="20"/>
            <w:lang w:val="en-US"/>
          </w:rPr>
          <w:t>.</w:t>
        </w:r>
        <w:r>
          <w:rPr>
            <w:rStyle w:val="ListLabel4"/>
            <w:rFonts w:cs="Bookman Old Style" w:ascii="Bookman Old Style" w:hAnsi="Bookman Old Style"/>
            <w:color w:val="000000"/>
            <w:sz w:val="20"/>
            <w:szCs w:val="20"/>
            <w:lang w:val="en-US"/>
          </w:rPr>
          <w:t>Ru</w:t>
        </w:r>
      </w:hyperlink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Октябрь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                 </w:t>
      </w: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Направление материнского капитала на оплату кредита через банки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Утвержденные изменения делают более удобным распоряжение материнским капиталом на самое востребованное у семей направление программы – улучшение жилищных условий с привлечением кредитных средств.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Чтобы оперативнее направлять материнский капитал на погашение кредитов, соответствующее заявление можно будет подавать непосредственно в банке, в котором открывается кредит. То есть вместо двух обращений – в банк и Пенсионный фонд – семье достаточно обратиться только в банк, где одновременно оформляется кредит и подается заявление на погашение кредита или уплату первоначального взноса.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Предоставление данной услуги будет развиваться по мере заключения соглашений между банками и Пенсионным фондом России.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b/>
          <w:b/>
          <w:bCs/>
          <w:i/>
          <w:i/>
          <w:i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для строительства домов на садовых участках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Принятые поправки законодательно закрепили право семей использовать материнский капитал для строительства жилого дома на садовом участке. Необходимым условием при этом, как и раньше, является наличие права собственности на землю и разрешения на   строительство жилья.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Продление программы материнского капитала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Действие программы материнского капитала продлено на пять лет – до конца 2026 года. </w:t>
      </w:r>
    </w:p>
    <w:p>
      <w:pPr>
        <w:pStyle w:val="Style14"/>
        <w:spacing w:before="0" w:after="120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.Ru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Application>LibreOffice/6.3.2.2$Windows_x86 LibreOffice_project/98b30e735bda24bc04ab42594c85f7fd8be07b9c</Application>
  <Pages>1</Pages>
  <Words>190</Words>
  <Characters>1402</Characters>
  <CharactersWithSpaces>1985</CharactersWithSpaces>
  <Paragraphs>18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2020-07-15T15:50:33Z</cp:lastPrinted>
  <dcterms:modified xsi:type="dcterms:W3CDTF">2020-10-21T17:21:56Z</dcterms:modified>
  <cp:revision>35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