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  <w:r>
          <w:rPr>
            <w:rFonts w:eastAsia="Bookman Old Style" w:cs="Bookman Old Style" w:ascii="Bookman Old Style" w:hAnsi="Bookman Old Style"/>
            <w:color w:val="000000"/>
            <w:sz w:val="20"/>
            <w:szCs w:val="20"/>
            <w:lang w:val="en-US"/>
          </w:rPr>
          <w:t>.</w:t>
        </w:r>
        <w:hyperlink r:id="rId4">
          <w:r>
            <w:rPr>
              <w:rFonts w:cs="Bookman Old Style" w:ascii="Bookman Old Style" w:hAnsi="Bookman Old Style"/>
              <w:color w:val="000000"/>
              <w:sz w:val="20"/>
              <w:szCs w:val="20"/>
              <w:lang w:val="en-US"/>
            </w:rPr>
            <w:t>Ru</w:t>
          </w:r>
        </w:hyperlink>
      </w:hyperlink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rFonts w:ascii="Bookman Old Style" w:hAnsi="Bookman Old Style" w:cs="Bookman Old Style"/>
          <w:color w:val="000000"/>
          <w:sz w:val="20"/>
          <w:szCs w:val="20"/>
          <w:lang w:val="en-US"/>
        </w:rPr>
      </w:pPr>
      <w:r>
        <w:rPr/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 </w:t>
      </w:r>
      <w:r>
        <w:rPr>
          <w:rFonts w:eastAsia="Arial" w:cs="Arial"/>
          <w:sz w:val="22"/>
          <w:szCs w:val="22"/>
          <w:u w:val="single"/>
          <w:lang w:val="ru-RU"/>
        </w:rPr>
        <w:t>Сентябрь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                 </w:t>
      </w: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НОВШЕСТВА В ПРОГРАММЕ МАТЕРИНСКОГО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Направление материнского капитала на оплату кредита через банки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Утвержденные изменения делают более удобным распоряжение материнским капиталом на самое востребованное у семей направление программы – улучшение жилищных условий с привлечением кредитных средств.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Чтобы оперативнее направлять материнский капитал на погашение кредитов, соответствующее заявление можно будет подавать непосредственно в банке, в котором открывается кредит. То есть вместо двух обращений – в банк и Пенсионный фонд – семье достаточно обратиться только в банк, где одновременно оформляется кредит и подается заявление на погашение кредита или уплату первоначального взноса.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Предоставление данной услуги будет развиваться по мере заключения соглашений между банками и Пенсионным фондом России.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b/>
          <w:b/>
          <w:bCs/>
          <w:i/>
          <w:i/>
          <w:i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Материнский капитал для строительства домов на садовых участках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Принятые поправки законодательно закрепили право семей использовать материнский капитал для строительства жилого дома на садовом участке. Необходимым условием при этом, как и раньше, является наличие права собственности на землю и разрешения на   строительство жилья.</w:t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Продление программы материнского капитала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 xml:space="preserve">Действие программы материнского капитала продлено на пять лет – до конца 2026 года. </w:t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.Ru" TargetMode="External"/><Relationship Id="rId4" Type="http://schemas.openxmlformats.org/officeDocument/2006/relationships/hyperlink" Target="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Application>LibreOffice/6.4.4.2$Windows_X86_64 LibreOffice_project/3d775be2011f3886db32dfd395a6a6d1ca2630ff</Application>
  <Pages>1</Pages>
  <Words>190</Words>
  <Characters>1403</Characters>
  <CharactersWithSpaces>1986</CharactersWithSpaces>
  <Paragraphs>18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2020-07-15T15:50:33Z</cp:lastPrinted>
  <dcterms:modified xsi:type="dcterms:W3CDTF">2020-09-16T13:09:51Z</dcterms:modified>
  <cp:revision>34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