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2F1" w:rsidRPr="001F368B" w:rsidRDefault="002A7AEE" w:rsidP="00E5122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75D7F"/>
          <w:kern w:val="36"/>
          <w:sz w:val="28"/>
          <w:szCs w:val="28"/>
          <w:lang w:eastAsia="ru-RU"/>
        </w:rPr>
        <w:t xml:space="preserve"> </w:t>
      </w:r>
      <w:r w:rsidR="002532F1" w:rsidRPr="001A1833">
        <w:rPr>
          <w:rFonts w:ascii="Times New Roman" w:eastAsia="Times New Roman" w:hAnsi="Times New Roman" w:cs="Times New Roman"/>
          <w:b/>
          <w:bCs/>
          <w:color w:val="275D7F"/>
          <w:kern w:val="36"/>
          <w:sz w:val="28"/>
          <w:szCs w:val="28"/>
          <w:lang w:eastAsia="ru-RU"/>
        </w:rPr>
        <w:t> </w:t>
      </w:r>
      <w:r w:rsidR="002532F1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ОТЧЕТ</w:t>
      </w:r>
    </w:p>
    <w:p w:rsidR="001A1833" w:rsidRPr="001F368B" w:rsidRDefault="002532F1" w:rsidP="002532F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отдела по обращениям граждан</w:t>
      </w:r>
      <w:r w:rsidR="00F616E8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="001A1833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управления контроля и д</w:t>
      </w:r>
      <w:r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окументооборота администрации муниципального образования</w:t>
      </w:r>
    </w:p>
    <w:p w:rsidR="002532F1" w:rsidRPr="001F368B" w:rsidRDefault="002532F1" w:rsidP="002532F1">
      <w:pPr>
        <w:spacing w:after="0" w:line="36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«Город Астрахань»</w:t>
      </w:r>
    </w:p>
    <w:p w:rsidR="00E51221" w:rsidRPr="001F368B" w:rsidRDefault="00FC6005" w:rsidP="00E5122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 20</w:t>
      </w:r>
      <w:r w:rsidR="001A7859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20</w:t>
      </w:r>
      <w:r w:rsidR="002532F1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год</w:t>
      </w:r>
    </w:p>
    <w:p w:rsidR="002532F1" w:rsidRDefault="000164D1" w:rsidP="00E51221">
      <w:pPr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 2020</w:t>
      </w:r>
      <w:r w:rsidR="002532F1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 в отделе по обращениям граждан управления контроля и документооборота администрации муниципального образования «Город Астрахань» зарегистрировано </w:t>
      </w:r>
      <w:r w:rsidR="00333177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1</w:t>
      </w:r>
      <w:r w:rsidR="001A7859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u w:val="single"/>
          <w:lang w:eastAsia="ru-RU"/>
        </w:rPr>
        <w:t>3540</w:t>
      </w:r>
      <w:r w:rsidR="002532F1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обращений граждан </w:t>
      </w:r>
      <w:r w:rsidR="002532F1" w:rsidRPr="001F368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письменных и устных</w:t>
      </w:r>
      <w:r w:rsidR="002532F1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="00434C88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Из них контрольных – </w:t>
      </w:r>
      <w:r w:rsidR="00434C88" w:rsidRPr="001F368B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1</w:t>
      </w:r>
      <w:r w:rsidR="001A7859" w:rsidRPr="001F368B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3397</w:t>
      </w:r>
      <w:r w:rsidR="00434C88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обращений.</w:t>
      </w:r>
    </w:p>
    <w:p w:rsidR="00E15685" w:rsidRPr="005F6EF7" w:rsidRDefault="00E15685" w:rsidP="00E15685">
      <w:pPr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Через </w:t>
      </w:r>
      <w:proofErr w:type="gramStart"/>
      <w:r w:rsidRPr="005F6EF7">
        <w:rPr>
          <w:rFonts w:ascii="Times New Roman" w:hAnsi="Times New Roman" w:cs="Times New Roman"/>
          <w:sz w:val="28"/>
          <w:szCs w:val="28"/>
        </w:rPr>
        <w:t>единую</w:t>
      </w:r>
      <w:proofErr w:type="gramEnd"/>
      <w:r w:rsidRPr="005F6EF7">
        <w:rPr>
          <w:rFonts w:ascii="Times New Roman" w:hAnsi="Times New Roman" w:cs="Times New Roman"/>
          <w:sz w:val="28"/>
          <w:szCs w:val="28"/>
        </w:rPr>
        <w:t xml:space="preserve"> интернет-приемную исполнительных органов государственной власти Астраханской области и органов местного самоуправления Астраханской области поступило – </w:t>
      </w:r>
      <w:r w:rsidRPr="005F6EF7">
        <w:rPr>
          <w:rFonts w:ascii="Times New Roman" w:hAnsi="Times New Roman" w:cs="Times New Roman"/>
          <w:b/>
          <w:sz w:val="28"/>
          <w:szCs w:val="28"/>
        </w:rPr>
        <w:t>4675</w:t>
      </w:r>
      <w:r w:rsidRPr="005F6EF7">
        <w:rPr>
          <w:rFonts w:ascii="Times New Roman" w:hAnsi="Times New Roman" w:cs="Times New Roman"/>
          <w:sz w:val="28"/>
          <w:szCs w:val="28"/>
        </w:rPr>
        <w:t xml:space="preserve"> обращений.</w:t>
      </w:r>
    </w:p>
    <w:p w:rsidR="002532F1" w:rsidRPr="001A1833" w:rsidRDefault="002532F1" w:rsidP="00FC6005">
      <w:pPr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Доля повторных обращений  - </w:t>
      </w:r>
      <w:r w:rsidR="001536F7" w:rsidRPr="001F368B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10</w:t>
      </w:r>
      <w:r w:rsidR="001A7859" w:rsidRPr="001F368B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11</w:t>
      </w:r>
      <w:r w:rsidR="00333177" w:rsidRPr="001F368B">
        <w:rPr>
          <w:rFonts w:ascii="Times New Roman" w:hAnsi="Times New Roman" w:cs="Times New Roman"/>
          <w:sz w:val="28"/>
          <w:szCs w:val="28"/>
        </w:rPr>
        <w:t xml:space="preserve"> обращений (</w:t>
      </w:r>
      <w:r w:rsidR="001A7859" w:rsidRPr="001F368B">
        <w:rPr>
          <w:rFonts w:ascii="Times New Roman" w:hAnsi="Times New Roman" w:cs="Times New Roman"/>
          <w:sz w:val="28"/>
          <w:szCs w:val="28"/>
        </w:rPr>
        <w:t>7</w:t>
      </w:r>
      <w:r w:rsidR="0097075A" w:rsidRPr="001F368B">
        <w:rPr>
          <w:rFonts w:ascii="Times New Roman" w:hAnsi="Times New Roman" w:cs="Times New Roman"/>
          <w:sz w:val="28"/>
          <w:szCs w:val="28"/>
        </w:rPr>
        <w:t>,</w:t>
      </w:r>
      <w:r w:rsidR="001A7859" w:rsidRPr="001F368B">
        <w:rPr>
          <w:rFonts w:ascii="Times New Roman" w:hAnsi="Times New Roman" w:cs="Times New Roman"/>
          <w:sz w:val="28"/>
          <w:szCs w:val="28"/>
        </w:rPr>
        <w:t>5</w:t>
      </w:r>
      <w:r w:rsidR="00FC6005" w:rsidRPr="001F368B">
        <w:rPr>
          <w:rFonts w:ascii="Times New Roman" w:hAnsi="Times New Roman" w:cs="Times New Roman"/>
          <w:sz w:val="28"/>
          <w:szCs w:val="28"/>
        </w:rPr>
        <w:t xml:space="preserve">%) и коллективных - </w:t>
      </w:r>
      <w:r w:rsidR="001A7859" w:rsidRPr="001F368B">
        <w:rPr>
          <w:rFonts w:ascii="Times New Roman" w:hAnsi="Times New Roman" w:cs="Times New Roman"/>
          <w:b/>
          <w:sz w:val="28"/>
          <w:szCs w:val="28"/>
        </w:rPr>
        <w:t>641</w:t>
      </w:r>
      <w:r w:rsidR="00FC6005" w:rsidRPr="001F36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6005" w:rsidRPr="001F368B">
        <w:rPr>
          <w:rFonts w:ascii="Times New Roman" w:hAnsi="Times New Roman" w:cs="Times New Roman"/>
          <w:sz w:val="28"/>
          <w:szCs w:val="28"/>
        </w:rPr>
        <w:t>обращени</w:t>
      </w:r>
      <w:r w:rsidR="00E67B73">
        <w:rPr>
          <w:rFonts w:ascii="Times New Roman" w:hAnsi="Times New Roman" w:cs="Times New Roman"/>
          <w:sz w:val="28"/>
          <w:szCs w:val="28"/>
        </w:rPr>
        <w:t>е</w:t>
      </w:r>
      <w:r w:rsidR="00FC6005" w:rsidRPr="001F368B">
        <w:rPr>
          <w:rFonts w:ascii="Times New Roman" w:hAnsi="Times New Roman" w:cs="Times New Roman"/>
          <w:sz w:val="28"/>
          <w:szCs w:val="28"/>
        </w:rPr>
        <w:t xml:space="preserve"> (</w:t>
      </w:r>
      <w:r w:rsidR="001A7859" w:rsidRPr="001F368B">
        <w:rPr>
          <w:rFonts w:ascii="Times New Roman" w:hAnsi="Times New Roman" w:cs="Times New Roman"/>
          <w:sz w:val="28"/>
          <w:szCs w:val="28"/>
        </w:rPr>
        <w:t>4</w:t>
      </w:r>
      <w:r w:rsidR="0097075A" w:rsidRPr="001F368B">
        <w:rPr>
          <w:rFonts w:ascii="Times New Roman" w:hAnsi="Times New Roman" w:cs="Times New Roman"/>
          <w:sz w:val="28"/>
          <w:szCs w:val="28"/>
        </w:rPr>
        <w:t>,7</w:t>
      </w:r>
      <w:r w:rsidR="00FC6005" w:rsidRPr="001F368B">
        <w:rPr>
          <w:rFonts w:ascii="Times New Roman" w:hAnsi="Times New Roman" w:cs="Times New Roman"/>
          <w:sz w:val="28"/>
          <w:szCs w:val="28"/>
        </w:rPr>
        <w:t>%).</w:t>
      </w:r>
      <w:r w:rsidR="00761B8B" w:rsidRPr="001F368B">
        <w:rPr>
          <w:rFonts w:ascii="Times New Roman" w:hAnsi="Times New Roman" w:cs="Times New Roman"/>
          <w:sz w:val="28"/>
          <w:szCs w:val="28"/>
        </w:rPr>
        <w:t xml:space="preserve"> </w:t>
      </w:r>
      <w:r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Наибольшее количество обращений поступило по </w:t>
      </w:r>
      <w:r w:rsidR="001A7859" w:rsidRPr="001F368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вопросам благоустройства, жилищно-коммунальной сферы и жилищным вопросам.</w:t>
      </w:r>
    </w:p>
    <w:p w:rsidR="00A51839" w:rsidRDefault="00A51839" w:rsidP="00E5122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2532F1" w:rsidRPr="008D4F89" w:rsidRDefault="002532F1" w:rsidP="00E51221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8D4F89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По льготному статусу обратилось </w:t>
      </w:r>
      <w:r w:rsidR="0097675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2422</w:t>
      </w:r>
      <w:r w:rsidRPr="008D4F89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заявител</w:t>
      </w:r>
      <w:r w:rsidR="0097675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я</w:t>
      </w:r>
      <w:r w:rsidRPr="008D4F89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, из них:</w:t>
      </w:r>
    </w:p>
    <w:tbl>
      <w:tblPr>
        <w:tblW w:w="9356" w:type="dxa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5441"/>
        <w:gridCol w:w="3119"/>
      </w:tblGrid>
      <w:tr w:rsidR="008D4F89" w:rsidRPr="008D4F89" w:rsidTr="00FF7FA8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8D4F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8D4F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Льготный статус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FF7FA8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Количество обращений </w:t>
            </w:r>
          </w:p>
        </w:tc>
      </w:tr>
      <w:tr w:rsidR="008D4F89" w:rsidRPr="008D4F89" w:rsidTr="001F368B">
        <w:trPr>
          <w:trHeight w:val="410"/>
        </w:trPr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A647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4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Инвалид по заболеванию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A647E" w:rsidRDefault="001F368B" w:rsidP="00ED0AB2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355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A647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4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Ветеран труда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A647E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224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A647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4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Многодетная семья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A647E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385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A647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4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Мать - одиночка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A647E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154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A647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4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Многодетная мать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A647E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A647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4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Пострадавшие в результате пожара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A647E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F368B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3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Ветеран ВОВ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F368B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F368B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3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Семья, имеющая ребенка инвалида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F368B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F368B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3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 ВОВ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F368B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F368B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3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 вооруженного конфликта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F368B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8D4F89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F368B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3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 сироты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F368B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E15685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8D4F89"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F368B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3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Труженик тыла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F368B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E15685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8D4F89"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F368B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3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Инвалид детства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F368B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E15685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8D4F89"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F368B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36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Ликвидатор ЧАЭС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F368B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  <w:tr w:rsidR="008D4F89" w:rsidRPr="008D4F89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E15685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8D4F89"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A647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4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Воин - интернационалист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A647E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116</w:t>
            </w:r>
          </w:p>
        </w:tc>
      </w:tr>
      <w:tr w:rsidR="008D4F89" w:rsidRPr="002532F1" w:rsidTr="001F368B"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8D4F89" w:rsidRDefault="00E15685" w:rsidP="00E51221">
            <w:pPr>
              <w:tabs>
                <w:tab w:val="left" w:pos="230"/>
              </w:tabs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8D4F89" w:rsidRPr="008D4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4F89" w:rsidRPr="001A647E" w:rsidRDefault="008D4F89" w:rsidP="00F616E8">
            <w:pPr>
              <w:spacing w:after="0" w:line="360" w:lineRule="atLeast"/>
              <w:ind w:left="14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4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Семья погибшего военнослужащего</w:t>
            </w:r>
          </w:p>
        </w:tc>
        <w:tc>
          <w:tcPr>
            <w:tcW w:w="3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4F89" w:rsidRPr="001A647E" w:rsidRDefault="001F368B" w:rsidP="00E51221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</w:tbl>
    <w:p w:rsidR="002532F1" w:rsidRPr="002532F1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532F1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2532F1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532F1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1F368B" w:rsidRPr="002532F1" w:rsidRDefault="001F368B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</w:p>
    <w:p w:rsidR="00ED0AB2" w:rsidRPr="001F368B" w:rsidRDefault="0041239A" w:rsidP="00DB72A4">
      <w:pPr>
        <w:spacing w:after="0" w:line="360" w:lineRule="atLeast"/>
        <w:jc w:val="center"/>
        <w:rPr>
          <w:b/>
          <w:sz w:val="28"/>
          <w:szCs w:val="28"/>
        </w:rPr>
      </w:pPr>
      <w:r w:rsidRPr="001F368B">
        <w:rPr>
          <w:b/>
          <w:sz w:val="28"/>
          <w:szCs w:val="28"/>
        </w:rPr>
        <w:lastRenderedPageBreak/>
        <w:t xml:space="preserve">Тематика </w:t>
      </w:r>
      <w:proofErr w:type="gramStart"/>
      <w:r w:rsidRPr="001F368B">
        <w:rPr>
          <w:b/>
          <w:sz w:val="28"/>
          <w:szCs w:val="28"/>
        </w:rPr>
        <w:t>поступивших</w:t>
      </w:r>
      <w:proofErr w:type="gramEnd"/>
      <w:r w:rsidRPr="001F368B">
        <w:rPr>
          <w:b/>
          <w:sz w:val="28"/>
          <w:szCs w:val="28"/>
        </w:rPr>
        <w:t xml:space="preserve"> </w:t>
      </w:r>
      <w:r w:rsidR="00ED0AB2" w:rsidRPr="001F368B">
        <w:rPr>
          <w:b/>
          <w:sz w:val="28"/>
          <w:szCs w:val="28"/>
        </w:rPr>
        <w:t xml:space="preserve"> в 20</w:t>
      </w:r>
      <w:r w:rsidR="000164D1" w:rsidRPr="001F368B">
        <w:rPr>
          <w:b/>
          <w:sz w:val="28"/>
          <w:szCs w:val="28"/>
        </w:rPr>
        <w:t>20</w:t>
      </w:r>
      <w:r w:rsidR="00ED0AB2" w:rsidRPr="001F368B">
        <w:rPr>
          <w:b/>
          <w:sz w:val="28"/>
          <w:szCs w:val="28"/>
        </w:rPr>
        <w:t xml:space="preserve"> году</w:t>
      </w:r>
    </w:p>
    <w:p w:rsidR="0041239A" w:rsidRPr="001F368B" w:rsidRDefault="0041239A" w:rsidP="00ED0AB2">
      <w:pPr>
        <w:spacing w:after="0"/>
        <w:jc w:val="center"/>
        <w:rPr>
          <w:b/>
          <w:sz w:val="28"/>
          <w:szCs w:val="28"/>
        </w:rPr>
      </w:pPr>
      <w:r w:rsidRPr="001F368B">
        <w:rPr>
          <w:b/>
          <w:sz w:val="28"/>
          <w:szCs w:val="28"/>
        </w:rPr>
        <w:t xml:space="preserve">письменных и устных обращений </w:t>
      </w:r>
      <w:proofErr w:type="gramStart"/>
      <w:r w:rsidRPr="001F368B">
        <w:rPr>
          <w:b/>
          <w:sz w:val="28"/>
          <w:szCs w:val="28"/>
        </w:rPr>
        <w:t>следующая</w:t>
      </w:r>
      <w:proofErr w:type="gramEnd"/>
      <w:r w:rsidRPr="001F368B">
        <w:rPr>
          <w:b/>
          <w:sz w:val="28"/>
          <w:szCs w:val="28"/>
        </w:rPr>
        <w:t>:</w:t>
      </w:r>
    </w:p>
    <w:p w:rsidR="002532F1" w:rsidRPr="002532F1" w:rsidRDefault="0041239A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0164D1">
        <w:rPr>
          <w:noProof/>
          <w:highlight w:val="yellow"/>
          <w:lang w:eastAsia="ru-RU"/>
        </w:rPr>
        <w:drawing>
          <wp:inline distT="0" distB="0" distL="0" distR="0" wp14:anchorId="592ECB9E" wp14:editId="734648DB">
            <wp:extent cx="5707380" cy="3200400"/>
            <wp:effectExtent l="0" t="0" r="26670" b="190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2532F1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532F1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DD3493" w:rsidRPr="002532F1" w:rsidRDefault="00DD3493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</w:p>
    <w:p w:rsidR="002532F1" w:rsidRPr="00A27572" w:rsidRDefault="002532F1" w:rsidP="008A2F07">
      <w:pPr>
        <w:jc w:val="center"/>
        <w:rPr>
          <w:b/>
          <w:sz w:val="28"/>
          <w:szCs w:val="28"/>
        </w:rPr>
      </w:pPr>
      <w:r w:rsidRPr="00A27572">
        <w:rPr>
          <w:b/>
          <w:sz w:val="28"/>
          <w:szCs w:val="28"/>
        </w:rPr>
        <w:t>Количество обращений, поступивших в 20</w:t>
      </w:r>
      <w:r w:rsidR="00ED44DE">
        <w:rPr>
          <w:b/>
          <w:sz w:val="28"/>
          <w:szCs w:val="28"/>
        </w:rPr>
        <w:t>20</w:t>
      </w:r>
      <w:r w:rsidRPr="00A27572">
        <w:rPr>
          <w:b/>
          <w:sz w:val="28"/>
          <w:szCs w:val="28"/>
        </w:rPr>
        <w:t xml:space="preserve"> году (по месяцам):</w:t>
      </w:r>
    </w:p>
    <w:p w:rsidR="002532F1" w:rsidRPr="00A27572" w:rsidRDefault="001009A7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A27572">
        <w:rPr>
          <w:rFonts w:ascii="Arial" w:eastAsia="Times New Roman" w:hAnsi="Arial" w:cs="Arial"/>
          <w:noProof/>
          <w:color w:val="333333"/>
          <w:sz w:val="20"/>
          <w:szCs w:val="20"/>
          <w:lang w:eastAsia="ru-RU"/>
        </w:rPr>
        <w:drawing>
          <wp:inline distT="0" distB="0" distL="0" distR="0" wp14:anchorId="0B04000B" wp14:editId="33825B1F">
            <wp:extent cx="5669280" cy="3550920"/>
            <wp:effectExtent l="57150" t="57150" r="45720" b="4953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2532F1" w:rsidRPr="00A2757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2532F1" w:rsidRPr="001A1833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1A1833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2532F1" w:rsidRPr="005F6EF7" w:rsidRDefault="002532F1" w:rsidP="003A5825">
      <w:pPr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 20</w:t>
      </w:r>
      <w:r w:rsidR="000164D1"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 руководителями администрации муниципального образования «Город Астрахань» было проведено </w:t>
      </w:r>
      <w:r w:rsidR="00537877" w:rsidRPr="005F6EF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25</w:t>
      </w:r>
      <w:r w:rsidRPr="005F6EF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приемов граждан и принято </w:t>
      </w:r>
      <w:r w:rsidR="00247759" w:rsidRPr="005F6EF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147</w:t>
      </w:r>
      <w:r w:rsidRPr="005F6EF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человек.</w:t>
      </w:r>
    </w:p>
    <w:p w:rsidR="001A1833" w:rsidRPr="005F6EF7" w:rsidRDefault="001A1833" w:rsidP="002532F1">
      <w:pPr>
        <w:spacing w:after="0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6465"/>
        <w:gridCol w:w="2265"/>
      </w:tblGrid>
      <w:tr w:rsidR="002532F1" w:rsidRPr="005F6EF7" w:rsidTr="001A1833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6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Должностное лицо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обращений</w:t>
            </w:r>
          </w:p>
        </w:tc>
      </w:tr>
      <w:tr w:rsidR="002532F1" w:rsidRPr="005F6EF7" w:rsidTr="001A1833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Глава администрации МО «Город Астрахань»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47759" w:rsidP="00DB72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</w:p>
        </w:tc>
      </w:tr>
      <w:tr w:rsidR="002532F1" w:rsidRPr="005F6EF7" w:rsidTr="001A1833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532F1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Заместители главы администрации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5F6EF7" w:rsidRDefault="00247759" w:rsidP="001A1833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6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</w:p>
        </w:tc>
      </w:tr>
    </w:tbl>
    <w:p w:rsidR="002532F1" w:rsidRPr="005F6EF7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5F6EF7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                                                                                          </w:t>
      </w:r>
    </w:p>
    <w:p w:rsidR="002532F1" w:rsidRPr="005F6EF7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5F6EF7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2532F1" w:rsidRPr="00F47A8D" w:rsidRDefault="002532F1" w:rsidP="00F1533E">
      <w:pPr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7A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Итоги по результатам рассмотрения обращений</w:t>
      </w:r>
      <w:r w:rsidR="00DB72A4" w:rsidRPr="00F47A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20</w:t>
      </w:r>
      <w:r w:rsidR="00537877" w:rsidRPr="00F47A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="00DB72A4" w:rsidRPr="00F47A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  <w:r w:rsidRPr="00F47A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504"/>
        <w:gridCol w:w="3226"/>
      </w:tblGrid>
      <w:tr w:rsidR="00F47A8D" w:rsidRPr="00F47A8D" w:rsidTr="003A5825">
        <w:trPr>
          <w:trHeight w:val="420"/>
        </w:trPr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 рассмотрения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обращений</w:t>
            </w:r>
          </w:p>
        </w:tc>
      </w:tr>
      <w:tr w:rsidR="00F47A8D" w:rsidRPr="00F47A8D" w:rsidTr="003A5825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Разъяснено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F47A8D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7369</w:t>
            </w:r>
          </w:p>
        </w:tc>
      </w:tr>
      <w:tr w:rsidR="00F47A8D" w:rsidRPr="00F47A8D" w:rsidTr="003A5825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2532F1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3A5825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Поддержано</w:t>
            </w:r>
            <w:r w:rsidR="00F47A8D"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в </w:t>
            </w:r>
            <w:proofErr w:type="spellStart"/>
            <w:r w:rsidR="00F47A8D"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т.ч</w:t>
            </w:r>
            <w:proofErr w:type="spellEnd"/>
            <w:r w:rsidR="00F47A8D"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меры приняты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F47A8D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3511</w:t>
            </w:r>
          </w:p>
        </w:tc>
      </w:tr>
      <w:tr w:rsidR="00F47A8D" w:rsidRPr="00F47A8D" w:rsidTr="003A5825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085190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2532F1"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B94CAD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поддержано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ED3472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47A8D" w:rsidRPr="00F47A8D" w:rsidTr="00B94CAD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532F1" w:rsidRPr="00F47A8D" w:rsidRDefault="00085190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bookmarkStart w:id="0" w:name="_GoBack"/>
            <w:bookmarkEnd w:id="0"/>
            <w:r w:rsidR="00B94CAD"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532F1" w:rsidRPr="00F47A8D" w:rsidRDefault="00B94CAD" w:rsidP="003A5825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Направлено по компетенции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32F1" w:rsidRPr="00F47A8D" w:rsidRDefault="00537877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773</w:t>
            </w:r>
          </w:p>
        </w:tc>
      </w:tr>
      <w:tr w:rsidR="00F47A8D" w:rsidRPr="00F47A8D" w:rsidTr="003A5825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94CAD" w:rsidRPr="00F47A8D" w:rsidRDefault="00B94CAD" w:rsidP="00561169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94CAD" w:rsidRPr="00F47A8D" w:rsidRDefault="00B94CAD" w:rsidP="00561169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Взято на контроль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94CAD" w:rsidRPr="00F47A8D" w:rsidRDefault="00F47A8D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1744</w:t>
            </w:r>
          </w:p>
        </w:tc>
      </w:tr>
      <w:tr w:rsidR="00F47A8D" w:rsidRPr="00F47A8D" w:rsidTr="003A5825"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CAD" w:rsidRPr="00F47A8D" w:rsidRDefault="00B94CAD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CAD" w:rsidRPr="00F47A8D" w:rsidRDefault="00B94CAD" w:rsidP="00F47A8D">
            <w:pPr>
              <w:spacing w:after="0" w:line="36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3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4CAD" w:rsidRPr="00F47A8D" w:rsidRDefault="00537877" w:rsidP="00347D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47A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13397</w:t>
            </w:r>
          </w:p>
        </w:tc>
      </w:tr>
    </w:tbl>
    <w:p w:rsidR="002532F1" w:rsidRPr="002532F1" w:rsidRDefault="002532F1" w:rsidP="002532F1">
      <w:pPr>
        <w:spacing w:after="0" w:line="360" w:lineRule="atLeast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532F1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236989" w:rsidRPr="002532F1" w:rsidRDefault="00236989" w:rsidP="002532F1"/>
    <w:sectPr w:rsidR="00236989" w:rsidRPr="00253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2F1"/>
    <w:rsid w:val="00002E26"/>
    <w:rsid w:val="00012244"/>
    <w:rsid w:val="000164D1"/>
    <w:rsid w:val="00024F94"/>
    <w:rsid w:val="00085190"/>
    <w:rsid w:val="000C2272"/>
    <w:rsid w:val="001009A7"/>
    <w:rsid w:val="001435F7"/>
    <w:rsid w:val="001536F7"/>
    <w:rsid w:val="00195DD8"/>
    <w:rsid w:val="001A1833"/>
    <w:rsid w:val="001A647E"/>
    <w:rsid w:val="001A7859"/>
    <w:rsid w:val="001F368B"/>
    <w:rsid w:val="00236989"/>
    <w:rsid w:val="00247759"/>
    <w:rsid w:val="002532F1"/>
    <w:rsid w:val="0026663B"/>
    <w:rsid w:val="0028321E"/>
    <w:rsid w:val="002A7AEE"/>
    <w:rsid w:val="002E21F2"/>
    <w:rsid w:val="00320F41"/>
    <w:rsid w:val="00333177"/>
    <w:rsid w:val="00347DA4"/>
    <w:rsid w:val="00352B08"/>
    <w:rsid w:val="00365A44"/>
    <w:rsid w:val="00374900"/>
    <w:rsid w:val="003809AD"/>
    <w:rsid w:val="00381656"/>
    <w:rsid w:val="003A2517"/>
    <w:rsid w:val="003A5825"/>
    <w:rsid w:val="0041239A"/>
    <w:rsid w:val="00434C88"/>
    <w:rsid w:val="00444EB9"/>
    <w:rsid w:val="00455E14"/>
    <w:rsid w:val="0046479E"/>
    <w:rsid w:val="0047174B"/>
    <w:rsid w:val="005141D4"/>
    <w:rsid w:val="00537877"/>
    <w:rsid w:val="00566DD1"/>
    <w:rsid w:val="0059466B"/>
    <w:rsid w:val="005E5C30"/>
    <w:rsid w:val="005E76BA"/>
    <w:rsid w:val="005F6EF7"/>
    <w:rsid w:val="00625E9C"/>
    <w:rsid w:val="00631ADD"/>
    <w:rsid w:val="006439AA"/>
    <w:rsid w:val="006531E5"/>
    <w:rsid w:val="00761B8B"/>
    <w:rsid w:val="00896864"/>
    <w:rsid w:val="008A2F07"/>
    <w:rsid w:val="008D4F89"/>
    <w:rsid w:val="00916A0A"/>
    <w:rsid w:val="0097075A"/>
    <w:rsid w:val="00976758"/>
    <w:rsid w:val="0099321A"/>
    <w:rsid w:val="00A26DB8"/>
    <w:rsid w:val="00A27572"/>
    <w:rsid w:val="00A51839"/>
    <w:rsid w:val="00A64B60"/>
    <w:rsid w:val="00A90324"/>
    <w:rsid w:val="00AA5886"/>
    <w:rsid w:val="00B130CB"/>
    <w:rsid w:val="00B40567"/>
    <w:rsid w:val="00B777AD"/>
    <w:rsid w:val="00B82A77"/>
    <w:rsid w:val="00B94A9E"/>
    <w:rsid w:val="00B94CAD"/>
    <w:rsid w:val="00BA5A69"/>
    <w:rsid w:val="00BC0D6B"/>
    <w:rsid w:val="00C15848"/>
    <w:rsid w:val="00C45E01"/>
    <w:rsid w:val="00C764C5"/>
    <w:rsid w:val="00CD255A"/>
    <w:rsid w:val="00CD2891"/>
    <w:rsid w:val="00CD3C55"/>
    <w:rsid w:val="00CE7C2F"/>
    <w:rsid w:val="00DA3F25"/>
    <w:rsid w:val="00DB72A4"/>
    <w:rsid w:val="00DD3493"/>
    <w:rsid w:val="00E0763D"/>
    <w:rsid w:val="00E15685"/>
    <w:rsid w:val="00E51221"/>
    <w:rsid w:val="00E67B73"/>
    <w:rsid w:val="00E91FB3"/>
    <w:rsid w:val="00ED0AB2"/>
    <w:rsid w:val="00ED3472"/>
    <w:rsid w:val="00ED44DE"/>
    <w:rsid w:val="00EE1B8F"/>
    <w:rsid w:val="00F13E80"/>
    <w:rsid w:val="00F1533E"/>
    <w:rsid w:val="00F47A8D"/>
    <w:rsid w:val="00F616E8"/>
    <w:rsid w:val="00F865BF"/>
    <w:rsid w:val="00FC6005"/>
    <w:rsid w:val="00FE4369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532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2532F1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2532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532F1"/>
    <w:rPr>
      <w:b/>
      <w:bCs/>
    </w:rPr>
  </w:style>
  <w:style w:type="paragraph" w:styleId="a5">
    <w:name w:val="Normal (Web)"/>
    <w:basedOn w:val="a"/>
    <w:uiPriority w:val="99"/>
    <w:unhideWhenUsed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53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32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532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2532F1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2532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532F1"/>
    <w:rPr>
      <w:b/>
      <w:bCs/>
    </w:rPr>
  </w:style>
  <w:style w:type="paragraph" w:styleId="a5">
    <w:name w:val="Normal (Web)"/>
    <w:basedOn w:val="a"/>
    <w:uiPriority w:val="99"/>
    <w:unhideWhenUsed/>
    <w:rsid w:val="002532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53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32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2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8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19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7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  <c:perspective val="1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0031956350387118"/>
          <c:y val="0.10615079365079365"/>
          <c:w val="0.82603871281587038"/>
          <c:h val="0.78769841269841268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rgbClr val="FFFF00"/>
            </a:solidFill>
            <a:scene3d>
              <a:camera prst="orthographicFront"/>
              <a:lightRig rig="threePt" dir="t"/>
            </a:scene3d>
            <a:sp3d prstMaterial="flat"/>
          </c:spPr>
          <c:explosion val="20"/>
          <c:dPt>
            <c:idx val="0"/>
            <c:bubble3D val="0"/>
            <c:explosion val="1"/>
            <c:spPr>
              <a:solidFill>
                <a:srgbClr val="00B0F0"/>
              </a:solidFill>
              <a:scene3d>
                <a:camera prst="orthographicFront"/>
                <a:lightRig rig="threePt" dir="t"/>
              </a:scene3d>
              <a:sp3d prstMaterial="flat"/>
            </c:spPr>
          </c:dPt>
          <c:dPt>
            <c:idx val="1"/>
            <c:bubble3D val="0"/>
            <c:spPr>
              <a:solidFill>
                <a:srgbClr val="FFC000"/>
              </a:solidFill>
              <a:scene3d>
                <a:camera prst="orthographicFront"/>
                <a:lightRig rig="threePt" dir="t"/>
              </a:scene3d>
              <a:sp3d prstMaterial="flat"/>
            </c:spPr>
          </c:dPt>
          <c:dPt>
            <c:idx val="2"/>
            <c:bubble3D val="0"/>
            <c:spPr>
              <a:solidFill>
                <a:srgbClr val="92D050"/>
              </a:solidFill>
              <a:scene3d>
                <a:camera prst="orthographicFront"/>
                <a:lightRig rig="threePt" dir="t"/>
              </a:scene3d>
              <a:sp3d prstMaterial="flat"/>
            </c:spPr>
          </c:dPt>
          <c:dPt>
            <c:idx val="4"/>
            <c:bubble3D val="0"/>
            <c:spPr>
              <a:solidFill>
                <a:srgbClr val="FF0000"/>
              </a:solidFill>
              <a:scene3d>
                <a:camera prst="orthographicFront"/>
                <a:lightRig rig="threePt" dir="t"/>
              </a:scene3d>
              <a:sp3d prstMaterial="flat"/>
            </c:spPr>
          </c:dPt>
          <c:dLbls>
            <c:dLbl>
              <c:idx val="1"/>
              <c:layout>
                <c:manualLayout>
                  <c:x val="1.4800051035287256E-2"/>
                  <c:y val="0.1045925509311336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</c:dLbl>
            <c:spPr>
              <a:solidFill>
                <a:schemeClr val="bg1"/>
              </a:solidFill>
              <a:ln>
                <a:solidFill>
                  <a:schemeClr val="accent1"/>
                </a:solidFill>
              </a:ln>
            </c:spPr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Лист1!$A$2:$A$6</c:f>
              <c:strCache>
                <c:ptCount val="5"/>
                <c:pt idx="0">
                  <c:v>экономика (строительство и реконструкция, землепользование, транспорт, благоустройство, бытовое обслуживание торговля)</c:v>
                </c:pt>
                <c:pt idx="1">
                  <c:v>жилищно-коммунальная сфера</c:v>
                </c:pt>
                <c:pt idx="2">
                  <c:v>государство, общество, политика</c:v>
                </c:pt>
                <c:pt idx="3">
                  <c:v>социальная сфера</c:v>
                </c:pt>
                <c:pt idx="4">
                  <c:v>оборона, безопасность, законность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7835</c:v>
                </c:pt>
                <c:pt idx="1">
                  <c:v>4410</c:v>
                </c:pt>
                <c:pt idx="2">
                  <c:v>1323</c:v>
                </c:pt>
                <c:pt idx="3">
                  <c:v>1626</c:v>
                </c:pt>
                <c:pt idx="4">
                  <c:v>785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</c:pie3DChart>
      <c:spPr>
        <a:ln>
          <a:noFill/>
        </a:ln>
      </c:spPr>
    </c:plotArea>
    <c:plotVisOnly val="1"/>
    <c:dispBlanksAs val="gap"/>
    <c:showDLblsOverMax val="0"/>
  </c:chart>
  <c:spPr>
    <a:pattFill prst="pct5">
      <a:fgClr>
        <a:schemeClr val="accent1"/>
      </a:fgClr>
      <a:bgClr>
        <a:schemeClr val="bg1"/>
      </a:bgClr>
    </a:pattFill>
  </c:spPr>
  <c:txPr>
    <a:bodyPr/>
    <a:lstStyle/>
    <a:p>
      <a:pPr>
        <a:defRPr b="1" i="0" baseline="0"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9"/>
    </mc:Choice>
    <mc:Fallback>
      <c:style val="29"/>
    </mc:Fallback>
  </mc:AlternateContent>
  <c:chart>
    <c:autoTitleDeleted val="1"/>
    <c:view3D>
      <c:rotX val="70"/>
      <c:rotY val="100"/>
      <c:depthPercent val="100"/>
      <c:rAngAx val="1"/>
    </c:view3D>
    <c:floor>
      <c:thickness val="0"/>
    </c:floor>
    <c:sideWall>
      <c:thickness val="0"/>
      <c:spPr>
        <a:noFill/>
        <a:ln>
          <a:noFill/>
        </a:ln>
      </c:spPr>
    </c:sideWall>
    <c:backWall>
      <c:thickness val="0"/>
      <c:spPr>
        <a:noFill/>
        <a:ln>
          <a:noFill/>
        </a:ln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обращения, поступившие в 2020 году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dLbl>
              <c:idx val="0"/>
              <c:layout>
                <c:manualLayout>
                  <c:x val="0"/>
                  <c:y val="-5.36193029490616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4.4817927170868344E-3"/>
                  <c:y val="-3.932082216264522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6.7226890756302525E-3"/>
                  <c:y val="-6.07685433422698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6.7226890756302525E-3"/>
                  <c:y val="-6.07685433422698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2.2408963585434132E-2"/>
                  <c:y val="-4.647006255585343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1.3445378151260505E-2"/>
                  <c:y val="-5.36193029490616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2.464985994397759E-2"/>
                  <c:y val="-7.149240393208219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2.0168067226890758E-2"/>
                  <c:y val="-2.502234137622874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2.6890756302520927E-2"/>
                  <c:y val="-7.506702412868632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2.6890579853988839E-2"/>
                  <c:y val="-4.647006255585343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0"/>
              <c:layout>
                <c:manualLayout>
                  <c:x val="2.689075630252101E-2"/>
                  <c:y val="-8.93655049151027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1"/>
              <c:layout>
                <c:manualLayout>
                  <c:x val="4.0336134453781515E-2"/>
                  <c:y val="-7.149240393208221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300" b="1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Лист1!$A$2:$A$14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Лист1!$B$2:$B$14</c:f>
              <c:numCache>
                <c:formatCode>General</c:formatCode>
                <c:ptCount val="13"/>
                <c:pt idx="0">
                  <c:v>752</c:v>
                </c:pt>
                <c:pt idx="1">
                  <c:v>964</c:v>
                </c:pt>
                <c:pt idx="2">
                  <c:v>955</c:v>
                </c:pt>
                <c:pt idx="3">
                  <c:v>914</c:v>
                </c:pt>
                <c:pt idx="4">
                  <c:v>960</c:v>
                </c:pt>
                <c:pt idx="5">
                  <c:v>1273</c:v>
                </c:pt>
                <c:pt idx="6">
                  <c:v>1630</c:v>
                </c:pt>
                <c:pt idx="7">
                  <c:v>1347</c:v>
                </c:pt>
                <c:pt idx="8">
                  <c:v>1391</c:v>
                </c:pt>
                <c:pt idx="9">
                  <c:v>1062</c:v>
                </c:pt>
                <c:pt idx="10">
                  <c:v>1078</c:v>
                </c:pt>
                <c:pt idx="11">
                  <c:v>1214</c:v>
                </c:pt>
              </c:numCache>
            </c:numRef>
          </c:val>
          <c:shape val="cylinder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9"/>
        <c:gapDepth val="22"/>
        <c:shape val="box"/>
        <c:axId val="25777280"/>
        <c:axId val="121938304"/>
        <c:axId val="0"/>
      </c:bar3DChart>
      <c:catAx>
        <c:axId val="25777280"/>
        <c:scaling>
          <c:orientation val="minMax"/>
        </c:scaling>
        <c:delete val="0"/>
        <c:axPos val="b"/>
        <c:majorTickMark val="none"/>
        <c:minorTickMark val="none"/>
        <c:tickLblPos val="nextTo"/>
        <c:txPr>
          <a:bodyPr/>
          <a:lstStyle/>
          <a:p>
            <a:pPr>
              <a:defRPr sz="1100" b="1" i="0" baseline="0"/>
            </a:pPr>
            <a:endParaRPr lang="ru-RU"/>
          </a:p>
        </c:txPr>
        <c:crossAx val="121938304"/>
        <c:crosses val="autoZero"/>
        <c:auto val="1"/>
        <c:lblAlgn val="ctr"/>
        <c:lblOffset val="100"/>
        <c:noMultiLvlLbl val="0"/>
      </c:catAx>
      <c:valAx>
        <c:axId val="121938304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25777280"/>
        <c:crosses val="autoZero"/>
        <c:crossBetween val="between"/>
      </c:valAx>
    </c:plotArea>
    <c:legend>
      <c:legendPos val="t"/>
      <c:legendEntry>
        <c:idx val="0"/>
        <c:txPr>
          <a:bodyPr/>
          <a:lstStyle/>
          <a:p>
            <a:pPr>
              <a:defRPr sz="1100" b="1" i="0" baseline="0"/>
            </a:pPr>
            <a:endParaRPr lang="ru-RU"/>
          </a:p>
        </c:txPr>
      </c:legendEntry>
      <c:overlay val="0"/>
      <c:txPr>
        <a:bodyPr/>
        <a:lstStyle/>
        <a:p>
          <a:pPr>
            <a:defRPr b="1" i="0" baseline="0"/>
          </a:pPr>
          <a:endParaRPr lang="ru-RU"/>
        </a:p>
      </c:txPr>
    </c:legend>
    <c:plotVisOnly val="1"/>
    <c:dispBlanksAs val="gap"/>
    <c:showDLblsOverMax val="0"/>
  </c:chart>
  <c:spPr>
    <a:pattFill prst="pct5">
      <a:fgClr>
        <a:schemeClr val="accent1"/>
      </a:fgClr>
      <a:bgClr>
        <a:schemeClr val="bg1"/>
      </a:bgClr>
    </a:pattFill>
    <a:effectLst>
      <a:innerShdw blurRad="63500" dist="50800" dir="13500000">
        <a:prstClr val="black">
          <a:alpha val="50000"/>
        </a:prstClr>
      </a:innerShdw>
    </a:effectLst>
    <a:scene3d>
      <a:camera prst="orthographicFront"/>
      <a:lightRig rig="threePt" dir="t"/>
    </a:scene3d>
  </c:sp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Семакина Евгения Викторовна</dc:creator>
  <cp:lastModifiedBy>Зубаирова Розалия Рамилевна</cp:lastModifiedBy>
  <cp:revision>14</cp:revision>
  <cp:lastPrinted>2021-01-22T10:39:00Z</cp:lastPrinted>
  <dcterms:created xsi:type="dcterms:W3CDTF">2021-01-22T10:36:00Z</dcterms:created>
  <dcterms:modified xsi:type="dcterms:W3CDTF">2021-01-26T10:30:00Z</dcterms:modified>
</cp:coreProperties>
</file>