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5B46" w:rsidRDefault="005C5B46" w:rsidP="00A228FC">
      <w:pPr>
        <w:adjustRightInd w:val="0"/>
        <w:ind w:left="720" w:hanging="578"/>
        <w:contextualSpacing/>
        <w:jc w:val="center"/>
        <w:rPr>
          <w:b/>
          <w:color w:val="A50021"/>
          <w:sz w:val="26"/>
          <w:szCs w:val="26"/>
          <w:u w:val="single"/>
        </w:rPr>
      </w:pPr>
      <w:bookmarkStart w:id="0" w:name="_GoBack"/>
      <w:bookmarkEnd w:id="0"/>
      <w:r>
        <w:rPr>
          <w:b/>
          <w:color w:val="A50021"/>
          <w:sz w:val="26"/>
          <w:szCs w:val="26"/>
          <w:u w:val="single"/>
        </w:rPr>
        <w:t>ОТЧЕТ</w:t>
      </w:r>
    </w:p>
    <w:p w:rsidR="00A228FC" w:rsidRDefault="00E825DA" w:rsidP="00A228FC">
      <w:pPr>
        <w:adjustRightInd w:val="0"/>
        <w:ind w:left="720" w:hanging="578"/>
        <w:contextualSpacing/>
        <w:jc w:val="center"/>
        <w:rPr>
          <w:b/>
          <w:color w:val="A50021"/>
          <w:sz w:val="26"/>
          <w:szCs w:val="26"/>
          <w:u w:val="single"/>
        </w:rPr>
      </w:pPr>
      <w:r w:rsidRPr="004876D8">
        <w:rPr>
          <w:b/>
          <w:color w:val="A50021"/>
          <w:sz w:val="26"/>
          <w:szCs w:val="26"/>
          <w:u w:val="single"/>
        </w:rPr>
        <w:t xml:space="preserve">О РАБОТЕ </w:t>
      </w:r>
      <w:r w:rsidR="004876D8" w:rsidRPr="004876D8">
        <w:rPr>
          <w:b/>
          <w:color w:val="A50021"/>
          <w:sz w:val="26"/>
          <w:szCs w:val="26"/>
          <w:u w:val="single"/>
        </w:rPr>
        <w:t>УПРАВЛЕНИЯ МУНИЦИПАЛЬНОГО ИМУЩЕСТВА</w:t>
      </w:r>
    </w:p>
    <w:p w:rsidR="00C05144" w:rsidRDefault="004876D8" w:rsidP="00A228FC">
      <w:pPr>
        <w:adjustRightInd w:val="0"/>
        <w:ind w:left="720" w:hanging="578"/>
        <w:contextualSpacing/>
        <w:jc w:val="center"/>
        <w:rPr>
          <w:b/>
          <w:color w:val="A50021"/>
          <w:sz w:val="26"/>
          <w:szCs w:val="26"/>
          <w:u w:val="single"/>
        </w:rPr>
      </w:pPr>
      <w:r w:rsidRPr="004876D8">
        <w:rPr>
          <w:b/>
          <w:color w:val="A50021"/>
          <w:sz w:val="26"/>
          <w:szCs w:val="26"/>
          <w:u w:val="single"/>
        </w:rPr>
        <w:t>АДМИНИСТРАЦИИ ГОРОДА АСТРАХАНИ</w:t>
      </w:r>
      <w:r w:rsidR="00A90508">
        <w:rPr>
          <w:b/>
          <w:color w:val="A50021"/>
          <w:sz w:val="26"/>
          <w:szCs w:val="26"/>
          <w:u w:val="single"/>
        </w:rPr>
        <w:t xml:space="preserve"> </w:t>
      </w:r>
      <w:r w:rsidR="00FF15EA">
        <w:rPr>
          <w:b/>
          <w:color w:val="A50021"/>
          <w:sz w:val="26"/>
          <w:szCs w:val="26"/>
          <w:u w:val="single"/>
        </w:rPr>
        <w:t>В</w:t>
      </w:r>
      <w:r w:rsidR="00E825DA" w:rsidRPr="004876D8">
        <w:rPr>
          <w:b/>
          <w:color w:val="A50021"/>
          <w:sz w:val="26"/>
          <w:szCs w:val="26"/>
          <w:u w:val="single"/>
        </w:rPr>
        <w:t xml:space="preserve"> 20</w:t>
      </w:r>
      <w:r w:rsidR="00E825DA" w:rsidRPr="00FD0DD0">
        <w:rPr>
          <w:b/>
          <w:color w:val="A50021"/>
          <w:sz w:val="26"/>
          <w:szCs w:val="26"/>
          <w:u w:val="single"/>
        </w:rPr>
        <w:t>1</w:t>
      </w:r>
      <w:r w:rsidR="00AF022E">
        <w:rPr>
          <w:b/>
          <w:color w:val="A50021"/>
          <w:sz w:val="26"/>
          <w:szCs w:val="26"/>
          <w:u w:val="single"/>
        </w:rPr>
        <w:t>4</w:t>
      </w:r>
      <w:r w:rsidR="00EE0BCC">
        <w:rPr>
          <w:b/>
          <w:color w:val="A50021"/>
          <w:sz w:val="26"/>
          <w:szCs w:val="26"/>
          <w:u w:val="single"/>
        </w:rPr>
        <w:t xml:space="preserve"> ГОД</w:t>
      </w:r>
      <w:r w:rsidR="00FF15EA">
        <w:rPr>
          <w:b/>
          <w:color w:val="A50021"/>
          <w:sz w:val="26"/>
          <w:szCs w:val="26"/>
          <w:u w:val="single"/>
        </w:rPr>
        <w:t>У</w:t>
      </w:r>
    </w:p>
    <w:p w:rsidR="00347F58" w:rsidRDefault="00347F58" w:rsidP="00AF022E">
      <w:pPr>
        <w:adjustRightInd w:val="0"/>
        <w:contextualSpacing/>
        <w:jc w:val="both"/>
        <w:rPr>
          <w:sz w:val="28"/>
          <w:szCs w:val="28"/>
        </w:rPr>
      </w:pPr>
    </w:p>
    <w:p w:rsidR="00AF022E" w:rsidRDefault="00AF022E" w:rsidP="00AF022E">
      <w:pPr>
        <w:adjustRightInd w:val="0"/>
        <w:contextualSpacing/>
        <w:jc w:val="both"/>
        <w:rPr>
          <w:sz w:val="28"/>
          <w:szCs w:val="28"/>
        </w:rPr>
      </w:pPr>
      <w:r>
        <w:rPr>
          <w:sz w:val="28"/>
          <w:szCs w:val="28"/>
        </w:rPr>
        <w:t xml:space="preserve">        С целью проведения единой городской политики в области земельных и имущественных отношений управлением осуществлялась работа по продаже муниципального имущества,  земельных участков, права аренды, сдаче муниципального имущества и земельных участков в арендное пользование, а также работа в направлении рекламной деятельности.</w:t>
      </w:r>
    </w:p>
    <w:p w:rsidR="00AF022E" w:rsidRDefault="00AF022E" w:rsidP="005202FB">
      <w:pPr>
        <w:adjustRightInd w:val="0"/>
        <w:contextualSpacing/>
        <w:jc w:val="center"/>
        <w:rPr>
          <w:b/>
          <w:color w:val="008000"/>
          <w:sz w:val="24"/>
          <w:szCs w:val="24"/>
          <w:u w:val="single"/>
        </w:rPr>
      </w:pPr>
    </w:p>
    <w:p w:rsidR="005202FB" w:rsidRDefault="005202FB" w:rsidP="005202FB">
      <w:pPr>
        <w:adjustRightInd w:val="0"/>
        <w:contextualSpacing/>
        <w:jc w:val="center"/>
        <w:rPr>
          <w:b/>
          <w:color w:val="008000"/>
          <w:sz w:val="22"/>
          <w:szCs w:val="22"/>
          <w:u w:val="single"/>
        </w:rPr>
      </w:pPr>
      <w:r w:rsidRPr="005202FB">
        <w:rPr>
          <w:b/>
          <w:color w:val="008000"/>
          <w:sz w:val="24"/>
          <w:szCs w:val="24"/>
          <w:u w:val="single"/>
        </w:rPr>
        <w:t>РЕАЛИЗАЦИЯ  ПОСТАВЛЕННЫХ  ЗАДАЧ</w:t>
      </w:r>
    </w:p>
    <w:p w:rsidR="005202FB" w:rsidRDefault="005202FB" w:rsidP="00C910BE">
      <w:pPr>
        <w:adjustRightInd w:val="0"/>
        <w:contextualSpacing/>
        <w:jc w:val="both"/>
        <w:rPr>
          <w:b/>
          <w:color w:val="008000"/>
          <w:sz w:val="22"/>
          <w:szCs w:val="22"/>
          <w:u w:val="single"/>
        </w:rPr>
      </w:pPr>
    </w:p>
    <w:p w:rsidR="00A24DF2" w:rsidRDefault="005202FB" w:rsidP="00C910BE">
      <w:pPr>
        <w:adjustRightInd w:val="0"/>
        <w:contextualSpacing/>
        <w:jc w:val="both"/>
        <w:rPr>
          <w:sz w:val="28"/>
          <w:szCs w:val="28"/>
        </w:rPr>
      </w:pPr>
      <w:r w:rsidRPr="005202FB">
        <w:rPr>
          <w:b/>
          <w:color w:val="008000"/>
          <w:sz w:val="22"/>
          <w:szCs w:val="22"/>
        </w:rPr>
        <w:t xml:space="preserve">     </w:t>
      </w:r>
      <w:r>
        <w:rPr>
          <w:b/>
          <w:color w:val="008000"/>
          <w:sz w:val="22"/>
          <w:szCs w:val="22"/>
        </w:rPr>
        <w:t xml:space="preserve">    </w:t>
      </w:r>
      <w:r w:rsidR="00985DD2" w:rsidRPr="00985DD2">
        <w:rPr>
          <w:sz w:val="28"/>
          <w:szCs w:val="28"/>
        </w:rPr>
        <w:t xml:space="preserve">В результате деятельности управления </w:t>
      </w:r>
      <w:r w:rsidR="00CE7008" w:rsidRPr="000D40A3">
        <w:rPr>
          <w:sz w:val="28"/>
          <w:szCs w:val="28"/>
        </w:rPr>
        <w:t xml:space="preserve">в </w:t>
      </w:r>
      <w:r w:rsidR="002231A8">
        <w:rPr>
          <w:sz w:val="28"/>
          <w:szCs w:val="28"/>
        </w:rPr>
        <w:t xml:space="preserve">местный </w:t>
      </w:r>
      <w:r w:rsidR="00CE7008" w:rsidRPr="000D40A3">
        <w:rPr>
          <w:sz w:val="28"/>
          <w:szCs w:val="28"/>
        </w:rPr>
        <w:t xml:space="preserve">бюджет </w:t>
      </w:r>
      <w:r w:rsidR="00CE7008">
        <w:rPr>
          <w:sz w:val="28"/>
          <w:szCs w:val="28"/>
        </w:rPr>
        <w:t xml:space="preserve">города </w:t>
      </w:r>
      <w:r w:rsidR="00982C95">
        <w:rPr>
          <w:sz w:val="28"/>
          <w:szCs w:val="28"/>
        </w:rPr>
        <w:t xml:space="preserve">за 2014 год </w:t>
      </w:r>
      <w:r w:rsidR="00AF022E" w:rsidRPr="00EC060A">
        <w:rPr>
          <w:sz w:val="28"/>
          <w:szCs w:val="28"/>
        </w:rPr>
        <w:t>поступил</w:t>
      </w:r>
      <w:r w:rsidR="00982C95">
        <w:rPr>
          <w:sz w:val="28"/>
          <w:szCs w:val="28"/>
        </w:rPr>
        <w:t xml:space="preserve"> </w:t>
      </w:r>
      <w:r w:rsidR="00AF022E">
        <w:rPr>
          <w:sz w:val="28"/>
          <w:szCs w:val="28"/>
        </w:rPr>
        <w:t>1 млрд. 75 млн.руб.</w:t>
      </w:r>
      <w:r w:rsidR="00384483">
        <w:rPr>
          <w:sz w:val="28"/>
          <w:szCs w:val="28"/>
        </w:rPr>
        <w:t xml:space="preserve"> </w:t>
      </w:r>
      <w:r w:rsidR="00A24DF2">
        <w:rPr>
          <w:sz w:val="28"/>
          <w:szCs w:val="28"/>
        </w:rPr>
        <w:t>П</w:t>
      </w:r>
      <w:r w:rsidR="00B12F79">
        <w:rPr>
          <w:sz w:val="28"/>
          <w:szCs w:val="28"/>
        </w:rPr>
        <w:t xml:space="preserve">ри прогнозе  в сумме 909 млн.руб. </w:t>
      </w:r>
      <w:r w:rsidR="00A24DF2">
        <w:rPr>
          <w:sz w:val="28"/>
          <w:szCs w:val="28"/>
        </w:rPr>
        <w:t>выполнение составило</w:t>
      </w:r>
      <w:r w:rsidR="00B12F79">
        <w:rPr>
          <w:sz w:val="28"/>
          <w:szCs w:val="28"/>
        </w:rPr>
        <w:t xml:space="preserve"> 118%. </w:t>
      </w:r>
      <w:r w:rsidR="00A24DF2">
        <w:rPr>
          <w:sz w:val="28"/>
          <w:szCs w:val="28"/>
        </w:rPr>
        <w:t xml:space="preserve">Дополнительно в бюджет по всем видам доходов поступило 198 млн.руб.  </w:t>
      </w:r>
    </w:p>
    <w:p w:rsidR="00384483" w:rsidRDefault="00A24DF2" w:rsidP="00C910BE">
      <w:pPr>
        <w:adjustRightInd w:val="0"/>
        <w:contextualSpacing/>
        <w:jc w:val="both"/>
        <w:rPr>
          <w:sz w:val="28"/>
          <w:szCs w:val="28"/>
        </w:rPr>
      </w:pPr>
      <w:r>
        <w:rPr>
          <w:sz w:val="28"/>
          <w:szCs w:val="28"/>
        </w:rPr>
        <w:t xml:space="preserve">       </w:t>
      </w:r>
      <w:r w:rsidR="00384483">
        <w:rPr>
          <w:sz w:val="28"/>
          <w:szCs w:val="28"/>
        </w:rPr>
        <w:t>Наибольш</w:t>
      </w:r>
      <w:r w:rsidR="00670F1F">
        <w:rPr>
          <w:sz w:val="28"/>
          <w:szCs w:val="28"/>
        </w:rPr>
        <w:t>ий</w:t>
      </w:r>
      <w:r w:rsidR="00384483">
        <w:rPr>
          <w:sz w:val="28"/>
          <w:szCs w:val="28"/>
        </w:rPr>
        <w:t xml:space="preserve"> </w:t>
      </w:r>
      <w:r w:rsidR="00670F1F">
        <w:rPr>
          <w:sz w:val="28"/>
          <w:szCs w:val="28"/>
        </w:rPr>
        <w:t xml:space="preserve">объем </w:t>
      </w:r>
      <w:r w:rsidR="00384483">
        <w:rPr>
          <w:sz w:val="28"/>
          <w:szCs w:val="28"/>
        </w:rPr>
        <w:t>доходов получен от аренды земельных участков, продажи имущества и земельного налога</w:t>
      </w:r>
      <w:r>
        <w:rPr>
          <w:sz w:val="28"/>
          <w:szCs w:val="28"/>
        </w:rPr>
        <w:t>, что представлено на диаграмме № 1.</w:t>
      </w:r>
      <w:r w:rsidR="00384483">
        <w:rPr>
          <w:sz w:val="28"/>
          <w:szCs w:val="28"/>
        </w:rPr>
        <w:t xml:space="preserve"> </w:t>
      </w:r>
    </w:p>
    <w:p w:rsidR="00A24DF2" w:rsidRDefault="00A24DF2" w:rsidP="00C910BE">
      <w:pPr>
        <w:adjustRightInd w:val="0"/>
        <w:contextualSpacing/>
        <w:jc w:val="both"/>
        <w:rPr>
          <w:sz w:val="28"/>
          <w:szCs w:val="28"/>
        </w:rPr>
      </w:pPr>
    </w:p>
    <w:p w:rsidR="00384483" w:rsidRDefault="00384483" w:rsidP="00C910BE">
      <w:pPr>
        <w:adjustRightInd w:val="0"/>
        <w:contextualSpacing/>
        <w:jc w:val="both"/>
        <w:rPr>
          <w:sz w:val="28"/>
          <w:szCs w:val="28"/>
        </w:rPr>
      </w:pPr>
      <w:r>
        <w:rPr>
          <w:sz w:val="28"/>
          <w:szCs w:val="28"/>
        </w:rPr>
        <w:t xml:space="preserve">                                                                        </w:t>
      </w:r>
      <w:r w:rsidR="00A24DF2">
        <w:rPr>
          <w:sz w:val="28"/>
          <w:szCs w:val="28"/>
        </w:rPr>
        <w:t xml:space="preserve">    </w:t>
      </w:r>
      <w:r>
        <w:rPr>
          <w:sz w:val="28"/>
          <w:szCs w:val="28"/>
        </w:rPr>
        <w:t xml:space="preserve">       Диаграмма № 1</w:t>
      </w:r>
      <w:r w:rsidR="00985DD2">
        <w:rPr>
          <w:sz w:val="28"/>
          <w:szCs w:val="28"/>
        </w:rPr>
        <w:t xml:space="preserve">                                                                                                                          </w:t>
      </w:r>
    </w:p>
    <w:p w:rsidR="00384483" w:rsidRDefault="00985DD2" w:rsidP="00C910BE">
      <w:pPr>
        <w:adjustRightInd w:val="0"/>
        <w:contextualSpacing/>
        <w:jc w:val="both"/>
        <w:rPr>
          <w:sz w:val="28"/>
          <w:szCs w:val="28"/>
        </w:rPr>
      </w:pPr>
      <w:r>
        <w:rPr>
          <w:sz w:val="28"/>
          <w:szCs w:val="28"/>
        </w:rPr>
        <w:t xml:space="preserve">     </w:t>
      </w:r>
      <w:r w:rsidR="00A24DF2">
        <w:rPr>
          <w:sz w:val="28"/>
          <w:szCs w:val="28"/>
        </w:rPr>
        <w:t xml:space="preserve">   </w:t>
      </w:r>
      <w:r>
        <w:rPr>
          <w:sz w:val="28"/>
          <w:szCs w:val="28"/>
        </w:rPr>
        <w:t xml:space="preserve">    </w:t>
      </w:r>
      <w:r w:rsidR="00B638D6">
        <w:rPr>
          <w:sz w:val="28"/>
          <w:szCs w:val="28"/>
        </w:rPr>
        <w:t xml:space="preserve">           </w:t>
      </w:r>
      <w:r>
        <w:rPr>
          <w:sz w:val="28"/>
          <w:szCs w:val="28"/>
        </w:rPr>
        <w:t xml:space="preserve">    </w:t>
      </w:r>
      <w:r w:rsidR="00533E1E" w:rsidRPr="00533E1E">
        <w:rPr>
          <w:noProof/>
          <w:sz w:val="28"/>
          <w:szCs w:val="28"/>
        </w:rPr>
        <w:drawing>
          <wp:inline distT="0" distB="0" distL="0" distR="0">
            <wp:extent cx="4029075" cy="2266950"/>
            <wp:effectExtent l="19050" t="0" r="9525" b="0"/>
            <wp:docPr id="4"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Pr>
          <w:sz w:val="28"/>
          <w:szCs w:val="28"/>
        </w:rPr>
        <w:t xml:space="preserve">  </w:t>
      </w:r>
      <w:r w:rsidR="00384483">
        <w:rPr>
          <w:sz w:val="28"/>
          <w:szCs w:val="28"/>
        </w:rPr>
        <w:t xml:space="preserve"> </w:t>
      </w:r>
      <w:r w:rsidR="00AF022E" w:rsidRPr="00EC060A">
        <w:rPr>
          <w:sz w:val="28"/>
          <w:szCs w:val="28"/>
        </w:rPr>
        <w:t xml:space="preserve"> </w:t>
      </w:r>
    </w:p>
    <w:p w:rsidR="00384483" w:rsidRDefault="00384483" w:rsidP="00C910BE">
      <w:pPr>
        <w:adjustRightInd w:val="0"/>
        <w:contextualSpacing/>
        <w:jc w:val="both"/>
        <w:rPr>
          <w:sz w:val="28"/>
          <w:szCs w:val="28"/>
        </w:rPr>
      </w:pPr>
    </w:p>
    <w:p w:rsidR="00982C95" w:rsidRDefault="00985DD2" w:rsidP="00982C95">
      <w:pPr>
        <w:adjustRightInd w:val="0"/>
        <w:contextualSpacing/>
        <w:jc w:val="both"/>
        <w:rPr>
          <w:sz w:val="28"/>
          <w:szCs w:val="28"/>
        </w:rPr>
      </w:pPr>
      <w:r>
        <w:rPr>
          <w:sz w:val="28"/>
          <w:szCs w:val="28"/>
        </w:rPr>
        <w:t xml:space="preserve">     </w:t>
      </w:r>
      <w:r w:rsidR="0068767D">
        <w:rPr>
          <w:sz w:val="28"/>
          <w:szCs w:val="28"/>
        </w:rPr>
        <w:t xml:space="preserve">   </w:t>
      </w:r>
      <w:r w:rsidR="002231A8">
        <w:rPr>
          <w:sz w:val="28"/>
          <w:szCs w:val="28"/>
        </w:rPr>
        <w:t xml:space="preserve">Объем фактических расходов составил </w:t>
      </w:r>
      <w:r w:rsidR="00AF022E">
        <w:rPr>
          <w:sz w:val="28"/>
          <w:szCs w:val="28"/>
        </w:rPr>
        <w:t xml:space="preserve">107 млн. 29 </w:t>
      </w:r>
      <w:r w:rsidR="002231A8">
        <w:rPr>
          <w:sz w:val="28"/>
          <w:szCs w:val="28"/>
        </w:rPr>
        <w:t xml:space="preserve">тыс.руб. </w:t>
      </w:r>
      <w:r w:rsidR="00A24DF2">
        <w:rPr>
          <w:sz w:val="28"/>
          <w:szCs w:val="28"/>
        </w:rPr>
        <w:t xml:space="preserve">– это </w:t>
      </w:r>
      <w:r w:rsidR="00AF022E">
        <w:rPr>
          <w:sz w:val="28"/>
          <w:szCs w:val="28"/>
        </w:rPr>
        <w:t>1</w:t>
      </w:r>
      <w:r w:rsidR="00723C4B">
        <w:rPr>
          <w:sz w:val="28"/>
          <w:szCs w:val="28"/>
        </w:rPr>
        <w:t>0</w:t>
      </w:r>
      <w:r w:rsidR="002231A8">
        <w:rPr>
          <w:sz w:val="28"/>
          <w:szCs w:val="28"/>
        </w:rPr>
        <w:t>% к общему объему доходов</w:t>
      </w:r>
      <w:r w:rsidR="000C0088">
        <w:rPr>
          <w:sz w:val="28"/>
          <w:szCs w:val="28"/>
        </w:rPr>
        <w:t xml:space="preserve"> (Диаграмма № 2)</w:t>
      </w:r>
      <w:r w:rsidR="00982C95">
        <w:rPr>
          <w:sz w:val="28"/>
          <w:szCs w:val="28"/>
        </w:rPr>
        <w:t>.</w:t>
      </w:r>
    </w:p>
    <w:p w:rsidR="00B82208" w:rsidRDefault="00B82208" w:rsidP="00C910BE">
      <w:pPr>
        <w:adjustRightInd w:val="0"/>
        <w:contextualSpacing/>
        <w:jc w:val="both"/>
        <w:rPr>
          <w:sz w:val="28"/>
          <w:szCs w:val="28"/>
        </w:rPr>
      </w:pPr>
    </w:p>
    <w:p w:rsidR="00CD21BF" w:rsidRDefault="00B82208" w:rsidP="00C910BE">
      <w:pPr>
        <w:adjustRightInd w:val="0"/>
        <w:contextualSpacing/>
        <w:jc w:val="both"/>
        <w:rPr>
          <w:sz w:val="28"/>
          <w:szCs w:val="28"/>
        </w:rPr>
      </w:pPr>
      <w:r>
        <w:rPr>
          <w:sz w:val="28"/>
          <w:szCs w:val="28"/>
        </w:rPr>
        <w:t xml:space="preserve">      </w:t>
      </w:r>
      <w:r w:rsidR="006641F3">
        <w:rPr>
          <w:sz w:val="28"/>
          <w:szCs w:val="28"/>
        </w:rPr>
        <w:t xml:space="preserve">                                                                 </w:t>
      </w:r>
      <w:r w:rsidR="005B4E62">
        <w:rPr>
          <w:sz w:val="28"/>
          <w:szCs w:val="28"/>
        </w:rPr>
        <w:t xml:space="preserve"> </w:t>
      </w:r>
      <w:r w:rsidR="006641F3">
        <w:rPr>
          <w:sz w:val="28"/>
          <w:szCs w:val="28"/>
        </w:rPr>
        <w:t xml:space="preserve"> </w:t>
      </w:r>
      <w:r w:rsidR="00B638D6">
        <w:rPr>
          <w:sz w:val="28"/>
          <w:szCs w:val="28"/>
        </w:rPr>
        <w:t xml:space="preserve">        </w:t>
      </w:r>
      <w:r w:rsidR="006641F3">
        <w:rPr>
          <w:sz w:val="28"/>
          <w:szCs w:val="28"/>
        </w:rPr>
        <w:t xml:space="preserve">Диаграмма № </w:t>
      </w:r>
      <w:r w:rsidR="00985DD2">
        <w:rPr>
          <w:sz w:val="28"/>
          <w:szCs w:val="28"/>
        </w:rPr>
        <w:t>2</w:t>
      </w:r>
    </w:p>
    <w:p w:rsidR="00C910BE" w:rsidRDefault="00E210B4" w:rsidP="00CD21BF">
      <w:pPr>
        <w:adjustRightInd w:val="0"/>
        <w:contextualSpacing/>
        <w:jc w:val="both"/>
        <w:rPr>
          <w:sz w:val="28"/>
          <w:szCs w:val="28"/>
        </w:rPr>
      </w:pPr>
      <w:r>
        <w:rPr>
          <w:sz w:val="28"/>
          <w:szCs w:val="28"/>
        </w:rPr>
        <w:t xml:space="preserve">                      </w:t>
      </w:r>
      <w:r w:rsidR="00C910BE">
        <w:rPr>
          <w:sz w:val="28"/>
          <w:szCs w:val="28"/>
        </w:rPr>
        <w:t xml:space="preserve">      </w:t>
      </w:r>
      <w:r w:rsidR="00985DD2" w:rsidRPr="00985DD2">
        <w:rPr>
          <w:noProof/>
          <w:sz w:val="28"/>
          <w:szCs w:val="28"/>
        </w:rPr>
        <w:drawing>
          <wp:inline distT="0" distB="0" distL="0" distR="0">
            <wp:extent cx="4029075" cy="2400300"/>
            <wp:effectExtent l="19050" t="0" r="9525" b="0"/>
            <wp:docPr id="10"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74542" w:rsidRPr="00A77877" w:rsidRDefault="00EE1C0F" w:rsidP="00474542">
      <w:pPr>
        <w:jc w:val="both"/>
        <w:rPr>
          <w:b/>
          <w:color w:val="000099"/>
          <w:sz w:val="28"/>
          <w:szCs w:val="28"/>
        </w:rPr>
      </w:pPr>
      <w:r>
        <w:rPr>
          <w:b/>
          <w:color w:val="000080"/>
          <w:sz w:val="28"/>
          <w:szCs w:val="28"/>
        </w:rPr>
        <w:lastRenderedPageBreak/>
        <w:t xml:space="preserve">1. </w:t>
      </w:r>
      <w:r w:rsidR="00474542" w:rsidRPr="00A77877">
        <w:rPr>
          <w:b/>
          <w:color w:val="000099"/>
          <w:sz w:val="28"/>
          <w:szCs w:val="28"/>
        </w:rPr>
        <w:t>Продажа права аренды зем</w:t>
      </w:r>
      <w:r w:rsidR="001B1DA8">
        <w:rPr>
          <w:b/>
          <w:color w:val="000099"/>
          <w:sz w:val="28"/>
          <w:szCs w:val="28"/>
        </w:rPr>
        <w:t>ельных участков</w:t>
      </w:r>
      <w:r w:rsidR="00474542" w:rsidRPr="00A77877">
        <w:rPr>
          <w:b/>
          <w:color w:val="000099"/>
          <w:sz w:val="28"/>
          <w:szCs w:val="28"/>
        </w:rPr>
        <w:t xml:space="preserve">. </w:t>
      </w:r>
    </w:p>
    <w:p w:rsidR="00B74184" w:rsidRDefault="00474542" w:rsidP="00B74184">
      <w:pPr>
        <w:adjustRightInd w:val="0"/>
        <w:jc w:val="both"/>
        <w:rPr>
          <w:sz w:val="28"/>
          <w:szCs w:val="28"/>
        </w:rPr>
      </w:pPr>
      <w:r w:rsidRPr="00A77877">
        <w:rPr>
          <w:sz w:val="28"/>
          <w:szCs w:val="28"/>
        </w:rPr>
        <w:t xml:space="preserve">      </w:t>
      </w:r>
      <w:r w:rsidRPr="00A228FC">
        <w:rPr>
          <w:sz w:val="28"/>
          <w:szCs w:val="28"/>
        </w:rPr>
        <w:t xml:space="preserve">За отчетный период проведено 15 аукционов, продано право </w:t>
      </w:r>
      <w:r w:rsidR="001B1DA8">
        <w:rPr>
          <w:sz w:val="28"/>
          <w:szCs w:val="28"/>
        </w:rPr>
        <w:t xml:space="preserve">аренды </w:t>
      </w:r>
      <w:r w:rsidRPr="00A228FC">
        <w:rPr>
          <w:sz w:val="28"/>
          <w:szCs w:val="28"/>
        </w:rPr>
        <w:t>на 43 участка общей площадью 70 139 кв.м. на сумму 95 млн.руб., что составляет 151% к уровню 2013 года.</w:t>
      </w:r>
      <w:r w:rsidR="001C14C6">
        <w:rPr>
          <w:sz w:val="28"/>
          <w:szCs w:val="28"/>
        </w:rPr>
        <w:t xml:space="preserve"> </w:t>
      </w:r>
      <w:r w:rsidRPr="00A228FC">
        <w:rPr>
          <w:sz w:val="28"/>
          <w:szCs w:val="28"/>
        </w:rPr>
        <w:t xml:space="preserve">(Диаграмма № </w:t>
      </w:r>
      <w:r w:rsidR="004E3A71">
        <w:rPr>
          <w:sz w:val="28"/>
          <w:szCs w:val="28"/>
        </w:rPr>
        <w:t>3</w:t>
      </w:r>
      <w:r w:rsidRPr="00A228FC">
        <w:rPr>
          <w:sz w:val="28"/>
          <w:szCs w:val="28"/>
        </w:rPr>
        <w:t xml:space="preserve">). </w:t>
      </w:r>
      <w:r>
        <w:rPr>
          <w:sz w:val="28"/>
          <w:szCs w:val="28"/>
        </w:rPr>
        <w:t xml:space="preserve">                                                                       </w:t>
      </w:r>
      <w:r w:rsidR="001C14C6">
        <w:rPr>
          <w:sz w:val="28"/>
          <w:szCs w:val="28"/>
        </w:rPr>
        <w:t xml:space="preserve">      </w:t>
      </w:r>
      <w:r>
        <w:rPr>
          <w:sz w:val="28"/>
          <w:szCs w:val="28"/>
        </w:rPr>
        <w:t xml:space="preserve">  </w:t>
      </w:r>
    </w:p>
    <w:p w:rsidR="00474542" w:rsidRDefault="00B74184" w:rsidP="00474542">
      <w:pPr>
        <w:pStyle w:val="af0"/>
        <w:adjustRightInd w:val="0"/>
        <w:ind w:left="0"/>
        <w:jc w:val="both"/>
        <w:rPr>
          <w:sz w:val="28"/>
          <w:szCs w:val="28"/>
        </w:rPr>
      </w:pPr>
      <w:r>
        <w:rPr>
          <w:sz w:val="28"/>
          <w:szCs w:val="28"/>
        </w:rPr>
        <w:t xml:space="preserve">                                                                                    </w:t>
      </w:r>
      <w:r w:rsidR="00474542">
        <w:rPr>
          <w:sz w:val="28"/>
          <w:szCs w:val="28"/>
        </w:rPr>
        <w:t xml:space="preserve">Диаграмма № </w:t>
      </w:r>
      <w:r w:rsidR="004E3A71">
        <w:rPr>
          <w:sz w:val="28"/>
          <w:szCs w:val="28"/>
        </w:rPr>
        <w:t>3</w:t>
      </w:r>
    </w:p>
    <w:p w:rsidR="00B74184" w:rsidRPr="00B74184" w:rsidRDefault="00474542" w:rsidP="00B74184">
      <w:pPr>
        <w:jc w:val="both"/>
        <w:rPr>
          <w:color w:val="000000"/>
          <w:sz w:val="28"/>
          <w:szCs w:val="28"/>
        </w:rPr>
      </w:pPr>
      <w:r>
        <w:rPr>
          <w:sz w:val="28"/>
          <w:szCs w:val="28"/>
        </w:rPr>
        <w:t xml:space="preserve">     </w:t>
      </w:r>
      <w:r w:rsidR="00087240">
        <w:rPr>
          <w:sz w:val="28"/>
          <w:szCs w:val="28"/>
        </w:rPr>
        <w:t xml:space="preserve">     </w:t>
      </w:r>
      <w:r>
        <w:rPr>
          <w:sz w:val="28"/>
          <w:szCs w:val="28"/>
        </w:rPr>
        <w:t xml:space="preserve">            </w:t>
      </w:r>
      <w:r w:rsidR="000D5381" w:rsidRPr="000D5381">
        <w:rPr>
          <w:noProof/>
          <w:sz w:val="28"/>
          <w:szCs w:val="28"/>
        </w:rPr>
        <w:drawing>
          <wp:inline distT="0" distB="0" distL="0" distR="0">
            <wp:extent cx="4572000" cy="2924175"/>
            <wp:effectExtent l="19050" t="0" r="19050" b="0"/>
            <wp:docPr id="14"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sz w:val="28"/>
          <w:szCs w:val="28"/>
        </w:rPr>
        <w:t xml:space="preserve"> </w:t>
      </w:r>
    </w:p>
    <w:p w:rsidR="00474542" w:rsidRDefault="00474542" w:rsidP="00474542">
      <w:pPr>
        <w:pStyle w:val="af0"/>
        <w:adjustRightInd w:val="0"/>
        <w:ind w:left="0"/>
        <w:jc w:val="both"/>
        <w:rPr>
          <w:sz w:val="28"/>
          <w:szCs w:val="28"/>
        </w:rPr>
      </w:pPr>
    </w:p>
    <w:p w:rsidR="00474542" w:rsidRDefault="00474542" w:rsidP="00474542">
      <w:pPr>
        <w:pStyle w:val="af0"/>
        <w:adjustRightInd w:val="0"/>
        <w:ind w:left="0"/>
        <w:jc w:val="both"/>
        <w:rPr>
          <w:sz w:val="28"/>
          <w:szCs w:val="28"/>
        </w:rPr>
      </w:pPr>
    </w:p>
    <w:p w:rsidR="004E3A71" w:rsidRDefault="00474542" w:rsidP="00474542">
      <w:pPr>
        <w:pStyle w:val="af0"/>
        <w:adjustRightInd w:val="0"/>
        <w:ind w:left="0"/>
        <w:jc w:val="both"/>
        <w:rPr>
          <w:sz w:val="28"/>
          <w:szCs w:val="28"/>
        </w:rPr>
      </w:pPr>
      <w:r>
        <w:rPr>
          <w:sz w:val="28"/>
          <w:szCs w:val="28"/>
        </w:rPr>
        <w:t xml:space="preserve">      </w:t>
      </w:r>
      <w:r w:rsidR="00874ADF" w:rsidRPr="00A228FC">
        <w:rPr>
          <w:sz w:val="28"/>
          <w:szCs w:val="28"/>
        </w:rPr>
        <w:t xml:space="preserve">Динамика показателей по продаже </w:t>
      </w:r>
      <w:r w:rsidR="00874ADF">
        <w:rPr>
          <w:sz w:val="28"/>
          <w:szCs w:val="28"/>
        </w:rPr>
        <w:t xml:space="preserve">права аренды </w:t>
      </w:r>
      <w:r w:rsidR="00874ADF" w:rsidRPr="00A228FC">
        <w:rPr>
          <w:sz w:val="28"/>
          <w:szCs w:val="28"/>
        </w:rPr>
        <w:t>земельных участков на торгах 2014 года к 2013 году указывает на уменьшение общей площади участков на 10%</w:t>
      </w:r>
      <w:r w:rsidR="009C26C8">
        <w:rPr>
          <w:sz w:val="28"/>
          <w:szCs w:val="28"/>
        </w:rPr>
        <w:t xml:space="preserve">. </w:t>
      </w:r>
      <w:r w:rsidR="00874ADF" w:rsidRPr="00A228FC">
        <w:rPr>
          <w:sz w:val="28"/>
          <w:szCs w:val="28"/>
        </w:rPr>
        <w:t xml:space="preserve">В то же время прослеживается увеличение </w:t>
      </w:r>
      <w:r w:rsidR="00874ADF">
        <w:rPr>
          <w:sz w:val="28"/>
          <w:szCs w:val="28"/>
        </w:rPr>
        <w:t xml:space="preserve">фактических </w:t>
      </w:r>
      <w:r w:rsidR="00874ADF" w:rsidRPr="00A228FC">
        <w:rPr>
          <w:sz w:val="28"/>
          <w:szCs w:val="28"/>
        </w:rPr>
        <w:t xml:space="preserve">денежных средств от продажи участков </w:t>
      </w:r>
      <w:r w:rsidR="00353235">
        <w:rPr>
          <w:sz w:val="28"/>
          <w:szCs w:val="28"/>
        </w:rPr>
        <w:t xml:space="preserve">в 2014 году к 2013 году </w:t>
      </w:r>
      <w:r w:rsidR="00874ADF">
        <w:rPr>
          <w:sz w:val="28"/>
          <w:szCs w:val="28"/>
        </w:rPr>
        <w:t>в 2</w:t>
      </w:r>
      <w:r w:rsidR="00353235">
        <w:rPr>
          <w:sz w:val="28"/>
          <w:szCs w:val="28"/>
        </w:rPr>
        <w:t xml:space="preserve"> с лишним</w:t>
      </w:r>
      <w:r w:rsidR="00874ADF">
        <w:rPr>
          <w:sz w:val="28"/>
          <w:szCs w:val="28"/>
        </w:rPr>
        <w:t xml:space="preserve"> раза</w:t>
      </w:r>
      <w:r w:rsidR="004E3A71">
        <w:rPr>
          <w:sz w:val="28"/>
          <w:szCs w:val="28"/>
        </w:rPr>
        <w:t xml:space="preserve"> (Диаграмма № 4).</w:t>
      </w:r>
      <w:r w:rsidR="00B74184" w:rsidRPr="00B74184">
        <w:rPr>
          <w:sz w:val="28"/>
          <w:szCs w:val="28"/>
        </w:rPr>
        <w:t xml:space="preserve"> </w:t>
      </w:r>
      <w:r w:rsidR="00B74184">
        <w:rPr>
          <w:sz w:val="28"/>
          <w:szCs w:val="28"/>
        </w:rPr>
        <w:t>У</w:t>
      </w:r>
      <w:r w:rsidR="00B74184" w:rsidRPr="00B74184">
        <w:rPr>
          <w:color w:val="000000"/>
          <w:sz w:val="28"/>
          <w:szCs w:val="28"/>
        </w:rPr>
        <w:t>величение показателей связано с продажей в 2014 году 10 земельных участков для многоквартирного жилищного строительства общей площадью 25 288 кв.м. на сумму 76 млн.руб.</w:t>
      </w:r>
    </w:p>
    <w:p w:rsidR="00874ADF" w:rsidRDefault="004E3A71" w:rsidP="00474542">
      <w:pPr>
        <w:pStyle w:val="af0"/>
        <w:adjustRightInd w:val="0"/>
        <w:ind w:left="0"/>
        <w:jc w:val="both"/>
        <w:rPr>
          <w:sz w:val="28"/>
          <w:szCs w:val="28"/>
        </w:rPr>
      </w:pPr>
      <w:r>
        <w:rPr>
          <w:sz w:val="28"/>
          <w:szCs w:val="28"/>
        </w:rPr>
        <w:t xml:space="preserve">                                                                            Диаграмма № 4</w:t>
      </w:r>
    </w:p>
    <w:p w:rsidR="00874ADF" w:rsidRDefault="004E3A71" w:rsidP="00474542">
      <w:pPr>
        <w:pStyle w:val="af0"/>
        <w:adjustRightInd w:val="0"/>
        <w:ind w:left="0"/>
        <w:jc w:val="both"/>
        <w:rPr>
          <w:sz w:val="28"/>
          <w:szCs w:val="28"/>
        </w:rPr>
      </w:pPr>
      <w:r>
        <w:rPr>
          <w:sz w:val="28"/>
          <w:szCs w:val="28"/>
        </w:rPr>
        <w:t xml:space="preserve">                          </w:t>
      </w:r>
      <w:r w:rsidRPr="004E3A71">
        <w:rPr>
          <w:noProof/>
          <w:sz w:val="28"/>
          <w:szCs w:val="28"/>
        </w:rPr>
        <w:drawing>
          <wp:inline distT="0" distB="0" distL="0" distR="0">
            <wp:extent cx="4219575" cy="2809875"/>
            <wp:effectExtent l="19050" t="0" r="9525" b="0"/>
            <wp:docPr id="9"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74542" w:rsidRPr="00A228FC" w:rsidRDefault="00874ADF" w:rsidP="00474542">
      <w:pPr>
        <w:pStyle w:val="af0"/>
        <w:adjustRightInd w:val="0"/>
        <w:ind w:left="0"/>
        <w:jc w:val="both"/>
        <w:rPr>
          <w:sz w:val="28"/>
          <w:szCs w:val="28"/>
        </w:rPr>
      </w:pPr>
      <w:r>
        <w:rPr>
          <w:sz w:val="28"/>
          <w:szCs w:val="28"/>
        </w:rPr>
        <w:t xml:space="preserve">       </w:t>
      </w:r>
    </w:p>
    <w:p w:rsidR="00474542" w:rsidRPr="00A228FC" w:rsidRDefault="00474542" w:rsidP="00474542">
      <w:pPr>
        <w:pStyle w:val="af0"/>
        <w:adjustRightInd w:val="0"/>
        <w:ind w:left="0"/>
        <w:jc w:val="both"/>
        <w:rPr>
          <w:sz w:val="28"/>
          <w:szCs w:val="28"/>
        </w:rPr>
      </w:pPr>
      <w:r w:rsidRPr="00A228FC">
        <w:rPr>
          <w:sz w:val="28"/>
          <w:szCs w:val="28"/>
        </w:rPr>
        <w:t xml:space="preserve">      Необходимо отметить, что на сегодняшний день управление располагает достаточным количеством сформированных земельных участков для строительства востребованных объектов, однако из-за отсутствия технических </w:t>
      </w:r>
      <w:r w:rsidRPr="00A228FC">
        <w:rPr>
          <w:sz w:val="28"/>
          <w:szCs w:val="28"/>
        </w:rPr>
        <w:lastRenderedPageBreak/>
        <w:t xml:space="preserve">условий подключения объектов к сетям инженерно-технического обеспечения не представляется возможным выставить эти участки на торги.   </w:t>
      </w:r>
    </w:p>
    <w:p w:rsidR="00474542" w:rsidRPr="00A228FC" w:rsidRDefault="00474542" w:rsidP="00474542">
      <w:pPr>
        <w:pStyle w:val="af0"/>
        <w:adjustRightInd w:val="0"/>
        <w:ind w:left="0"/>
        <w:jc w:val="both"/>
        <w:rPr>
          <w:sz w:val="28"/>
          <w:szCs w:val="28"/>
        </w:rPr>
      </w:pPr>
      <w:r w:rsidRPr="00A228FC">
        <w:rPr>
          <w:sz w:val="28"/>
          <w:szCs w:val="28"/>
        </w:rPr>
        <w:t xml:space="preserve">     За этот период активно проводилась работа по предоставлению земельных участков для целей, не связанных со строительством, на основании ст.34 Земельного кодекса РФ и Положения о порядке предоставления земельных участков для целей, не связанных со строительством на территории муниципального образования «Город Астрахань» (решение Думы от 28.08.2008г. № 109). Так, за отчетный период продано право аренды на 21 земельный участок общей площадью 28 089 кв.м. на сумму 3 млн.руб. и право собственности на 16 участков общей площадью 5 558 кв.м на сумму 2 млн.руб.</w:t>
      </w:r>
    </w:p>
    <w:p w:rsidR="00B2348C" w:rsidRPr="00A228FC" w:rsidRDefault="00824630" w:rsidP="00B2348C">
      <w:pPr>
        <w:adjustRightInd w:val="0"/>
        <w:contextualSpacing/>
        <w:jc w:val="both"/>
        <w:rPr>
          <w:b/>
          <w:color w:val="000099"/>
          <w:sz w:val="28"/>
          <w:szCs w:val="28"/>
        </w:rPr>
      </w:pPr>
      <w:r>
        <w:rPr>
          <w:b/>
          <w:color w:val="000080"/>
          <w:sz w:val="28"/>
          <w:szCs w:val="28"/>
        </w:rPr>
        <w:t xml:space="preserve">2. </w:t>
      </w:r>
      <w:r w:rsidR="00B2348C" w:rsidRPr="00A228FC">
        <w:rPr>
          <w:b/>
          <w:color w:val="000099"/>
          <w:sz w:val="28"/>
          <w:szCs w:val="28"/>
        </w:rPr>
        <w:t>Земельный налог.</w:t>
      </w:r>
    </w:p>
    <w:p w:rsidR="00B2348C" w:rsidRDefault="00B2348C" w:rsidP="00B2348C">
      <w:pPr>
        <w:adjustRightInd w:val="0"/>
        <w:contextualSpacing/>
        <w:jc w:val="both"/>
        <w:rPr>
          <w:sz w:val="28"/>
          <w:szCs w:val="28"/>
        </w:rPr>
      </w:pPr>
      <w:r w:rsidRPr="00A228FC">
        <w:rPr>
          <w:sz w:val="28"/>
          <w:szCs w:val="28"/>
        </w:rPr>
        <w:t xml:space="preserve">     С целью формирования базы для исчисления земельного налога управление проводит работу по заключению договоров купли-продажи земельных участков. Так, за отчетный период заключено 1 256 договоров купли-продажи земельных участков на сумму 58 млн.руб., что на 14% больше, чем в 2013 году</w:t>
      </w:r>
      <w:r w:rsidR="001025CE">
        <w:rPr>
          <w:sz w:val="28"/>
          <w:szCs w:val="28"/>
        </w:rPr>
        <w:t>, что привело к росту ф</w:t>
      </w:r>
      <w:r>
        <w:rPr>
          <w:sz w:val="28"/>
          <w:szCs w:val="28"/>
        </w:rPr>
        <w:t>актически</w:t>
      </w:r>
      <w:r w:rsidR="001025CE">
        <w:rPr>
          <w:sz w:val="28"/>
          <w:szCs w:val="28"/>
        </w:rPr>
        <w:t>х</w:t>
      </w:r>
      <w:r>
        <w:rPr>
          <w:sz w:val="28"/>
          <w:szCs w:val="28"/>
        </w:rPr>
        <w:t xml:space="preserve"> доход</w:t>
      </w:r>
      <w:r w:rsidR="001025CE">
        <w:rPr>
          <w:sz w:val="28"/>
          <w:szCs w:val="28"/>
        </w:rPr>
        <w:t>ов</w:t>
      </w:r>
      <w:r>
        <w:rPr>
          <w:sz w:val="28"/>
          <w:szCs w:val="28"/>
        </w:rPr>
        <w:t xml:space="preserve"> </w:t>
      </w:r>
      <w:r w:rsidR="00C8112A">
        <w:rPr>
          <w:sz w:val="28"/>
          <w:szCs w:val="28"/>
        </w:rPr>
        <w:t xml:space="preserve">по продаже земельных участков </w:t>
      </w:r>
      <w:r w:rsidR="001025CE">
        <w:rPr>
          <w:sz w:val="28"/>
          <w:szCs w:val="28"/>
        </w:rPr>
        <w:t>на 55%</w:t>
      </w:r>
      <w:r w:rsidR="001025CE" w:rsidRPr="00A228FC">
        <w:rPr>
          <w:sz w:val="28"/>
          <w:szCs w:val="28"/>
        </w:rPr>
        <w:t xml:space="preserve"> </w:t>
      </w:r>
      <w:r w:rsidR="00C8112A">
        <w:rPr>
          <w:sz w:val="28"/>
          <w:szCs w:val="28"/>
        </w:rPr>
        <w:t>к уровню 2013 года</w:t>
      </w:r>
      <w:r w:rsidR="001025CE">
        <w:rPr>
          <w:sz w:val="28"/>
          <w:szCs w:val="28"/>
        </w:rPr>
        <w:t xml:space="preserve"> (Д</w:t>
      </w:r>
      <w:r w:rsidRPr="00A228FC">
        <w:rPr>
          <w:sz w:val="28"/>
          <w:szCs w:val="28"/>
        </w:rPr>
        <w:t>иаграмм</w:t>
      </w:r>
      <w:r w:rsidR="001025CE">
        <w:rPr>
          <w:sz w:val="28"/>
          <w:szCs w:val="28"/>
        </w:rPr>
        <w:t>а</w:t>
      </w:r>
      <w:r w:rsidRPr="00A228FC">
        <w:rPr>
          <w:sz w:val="28"/>
          <w:szCs w:val="28"/>
        </w:rPr>
        <w:t xml:space="preserve"> № </w:t>
      </w:r>
      <w:r w:rsidR="00911024">
        <w:rPr>
          <w:sz w:val="28"/>
          <w:szCs w:val="28"/>
        </w:rPr>
        <w:t>5</w:t>
      </w:r>
      <w:r w:rsidR="001025CE">
        <w:rPr>
          <w:sz w:val="28"/>
          <w:szCs w:val="28"/>
        </w:rPr>
        <w:t>)</w:t>
      </w:r>
      <w:r w:rsidRPr="00A228FC">
        <w:rPr>
          <w:sz w:val="28"/>
          <w:szCs w:val="28"/>
        </w:rPr>
        <w:t>.</w:t>
      </w:r>
    </w:p>
    <w:p w:rsidR="00B2348C" w:rsidRDefault="00B2348C" w:rsidP="00B2348C">
      <w:pPr>
        <w:pStyle w:val="af0"/>
        <w:adjustRightInd w:val="0"/>
        <w:ind w:left="0"/>
        <w:jc w:val="both"/>
        <w:rPr>
          <w:sz w:val="28"/>
          <w:szCs w:val="28"/>
        </w:rPr>
      </w:pPr>
      <w:r>
        <w:rPr>
          <w:sz w:val="28"/>
          <w:szCs w:val="28"/>
        </w:rPr>
        <w:t xml:space="preserve">                                                                                  Диаграмма № </w:t>
      </w:r>
      <w:r w:rsidR="00911024">
        <w:rPr>
          <w:sz w:val="28"/>
          <w:szCs w:val="28"/>
        </w:rPr>
        <w:t>5</w:t>
      </w:r>
    </w:p>
    <w:p w:rsidR="00B2348C" w:rsidRDefault="00B2348C" w:rsidP="00B2348C">
      <w:pPr>
        <w:adjustRightInd w:val="0"/>
        <w:contextualSpacing/>
        <w:jc w:val="both"/>
        <w:rPr>
          <w:sz w:val="28"/>
          <w:szCs w:val="28"/>
        </w:rPr>
      </w:pPr>
      <w:r>
        <w:rPr>
          <w:sz w:val="28"/>
          <w:szCs w:val="28"/>
        </w:rPr>
        <w:t xml:space="preserve">    </w:t>
      </w:r>
      <w:r w:rsidR="00366AC8">
        <w:rPr>
          <w:sz w:val="28"/>
          <w:szCs w:val="28"/>
        </w:rPr>
        <w:t xml:space="preserve">        </w:t>
      </w:r>
      <w:r>
        <w:rPr>
          <w:sz w:val="28"/>
          <w:szCs w:val="28"/>
        </w:rPr>
        <w:t xml:space="preserve">                 </w:t>
      </w:r>
      <w:r w:rsidR="00E735C2" w:rsidRPr="00E735C2">
        <w:rPr>
          <w:noProof/>
          <w:sz w:val="28"/>
          <w:szCs w:val="28"/>
        </w:rPr>
        <w:drawing>
          <wp:inline distT="0" distB="0" distL="0" distR="0">
            <wp:extent cx="4010025" cy="2066925"/>
            <wp:effectExtent l="19050" t="0" r="9525" b="0"/>
            <wp:docPr id="7"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sz w:val="28"/>
          <w:szCs w:val="28"/>
        </w:rPr>
        <w:t xml:space="preserve">      </w:t>
      </w:r>
    </w:p>
    <w:p w:rsidR="00B2348C" w:rsidRDefault="00B2348C" w:rsidP="00B2348C">
      <w:pPr>
        <w:adjustRightInd w:val="0"/>
        <w:contextualSpacing/>
        <w:jc w:val="both"/>
        <w:rPr>
          <w:sz w:val="28"/>
          <w:szCs w:val="28"/>
        </w:rPr>
      </w:pPr>
    </w:p>
    <w:p w:rsidR="00B2348C" w:rsidRPr="00A228FC" w:rsidRDefault="00B2348C" w:rsidP="00B2348C">
      <w:pPr>
        <w:adjustRightInd w:val="0"/>
        <w:contextualSpacing/>
        <w:jc w:val="both"/>
        <w:rPr>
          <w:sz w:val="28"/>
          <w:szCs w:val="28"/>
        </w:rPr>
      </w:pPr>
      <w:r w:rsidRPr="00A228FC">
        <w:rPr>
          <w:sz w:val="28"/>
          <w:szCs w:val="28"/>
        </w:rPr>
        <w:t>Из них для эксплуатации:</w:t>
      </w:r>
    </w:p>
    <w:p w:rsidR="00B2348C" w:rsidRPr="00A228FC" w:rsidRDefault="00B2348C" w:rsidP="00B2348C">
      <w:pPr>
        <w:numPr>
          <w:ilvl w:val="0"/>
          <w:numId w:val="38"/>
        </w:numPr>
        <w:adjustRightInd w:val="0"/>
        <w:ind w:left="284" w:hanging="284"/>
        <w:jc w:val="both"/>
        <w:rPr>
          <w:sz w:val="28"/>
          <w:szCs w:val="28"/>
        </w:rPr>
      </w:pPr>
      <w:r w:rsidRPr="00A228FC">
        <w:rPr>
          <w:sz w:val="28"/>
          <w:szCs w:val="28"/>
        </w:rPr>
        <w:t>ИЖД                                - 914 участков на 6 млн.руб.;</w:t>
      </w:r>
    </w:p>
    <w:p w:rsidR="00B2348C" w:rsidRPr="00A228FC" w:rsidRDefault="00B2348C" w:rsidP="00B2348C">
      <w:pPr>
        <w:numPr>
          <w:ilvl w:val="0"/>
          <w:numId w:val="38"/>
        </w:numPr>
        <w:adjustRightInd w:val="0"/>
        <w:ind w:left="284" w:hanging="284"/>
        <w:jc w:val="both"/>
        <w:rPr>
          <w:sz w:val="28"/>
          <w:szCs w:val="28"/>
        </w:rPr>
      </w:pPr>
      <w:r w:rsidRPr="00A228FC">
        <w:rPr>
          <w:sz w:val="28"/>
          <w:szCs w:val="28"/>
        </w:rPr>
        <w:t>кирпичных гаражей        - 239 участков на 1,5 млн.руб.;</w:t>
      </w:r>
    </w:p>
    <w:p w:rsidR="00B2348C" w:rsidRPr="00A228FC" w:rsidRDefault="00B2348C" w:rsidP="00B2348C">
      <w:pPr>
        <w:numPr>
          <w:ilvl w:val="0"/>
          <w:numId w:val="38"/>
        </w:numPr>
        <w:adjustRightInd w:val="0"/>
        <w:ind w:left="284" w:right="-1" w:hanging="284"/>
        <w:jc w:val="both"/>
        <w:rPr>
          <w:sz w:val="28"/>
          <w:szCs w:val="28"/>
        </w:rPr>
      </w:pPr>
      <w:r w:rsidRPr="00A228FC">
        <w:rPr>
          <w:sz w:val="28"/>
          <w:szCs w:val="28"/>
        </w:rPr>
        <w:t xml:space="preserve">коммерческих объектов  -   70 участков на 42 млн.руб. </w:t>
      </w:r>
    </w:p>
    <w:p w:rsidR="00E33505" w:rsidRDefault="00C8112A" w:rsidP="00B2348C">
      <w:pPr>
        <w:adjustRightInd w:val="0"/>
        <w:ind w:right="-1" w:firstLine="284"/>
        <w:jc w:val="both"/>
        <w:rPr>
          <w:sz w:val="28"/>
          <w:szCs w:val="28"/>
        </w:rPr>
      </w:pPr>
      <w:r>
        <w:rPr>
          <w:sz w:val="28"/>
          <w:szCs w:val="28"/>
        </w:rPr>
        <w:t xml:space="preserve">Проведенная работа по заключению договоров купли-продажи земельных участков отразилась на доходах по земельному налогу. Так, </w:t>
      </w:r>
      <w:r w:rsidR="001025CE">
        <w:rPr>
          <w:sz w:val="28"/>
          <w:szCs w:val="28"/>
        </w:rPr>
        <w:t xml:space="preserve">уровень </w:t>
      </w:r>
      <w:r>
        <w:rPr>
          <w:sz w:val="28"/>
          <w:szCs w:val="28"/>
        </w:rPr>
        <w:t>фактически</w:t>
      </w:r>
      <w:r w:rsidR="00E33505">
        <w:rPr>
          <w:sz w:val="28"/>
          <w:szCs w:val="28"/>
        </w:rPr>
        <w:t>х</w:t>
      </w:r>
      <w:r>
        <w:rPr>
          <w:sz w:val="28"/>
          <w:szCs w:val="28"/>
        </w:rPr>
        <w:t xml:space="preserve"> доход</w:t>
      </w:r>
      <w:r w:rsidR="00E33505">
        <w:rPr>
          <w:sz w:val="28"/>
          <w:szCs w:val="28"/>
        </w:rPr>
        <w:t>ов</w:t>
      </w:r>
      <w:r>
        <w:rPr>
          <w:sz w:val="28"/>
          <w:szCs w:val="28"/>
        </w:rPr>
        <w:t xml:space="preserve"> по земельному налогу</w:t>
      </w:r>
      <w:r w:rsidR="00E33505">
        <w:rPr>
          <w:sz w:val="28"/>
          <w:szCs w:val="28"/>
        </w:rPr>
        <w:t xml:space="preserve"> в 2014 году </w:t>
      </w:r>
      <w:r w:rsidR="001025CE">
        <w:rPr>
          <w:sz w:val="28"/>
          <w:szCs w:val="28"/>
        </w:rPr>
        <w:t>возрос на</w:t>
      </w:r>
      <w:r w:rsidR="00E33505">
        <w:rPr>
          <w:sz w:val="28"/>
          <w:szCs w:val="28"/>
        </w:rPr>
        <w:t xml:space="preserve"> </w:t>
      </w:r>
      <w:r>
        <w:rPr>
          <w:sz w:val="28"/>
          <w:szCs w:val="28"/>
        </w:rPr>
        <w:t>20% к уровню 2013 года</w:t>
      </w:r>
      <w:r w:rsidR="00E33505">
        <w:rPr>
          <w:sz w:val="28"/>
          <w:szCs w:val="28"/>
        </w:rPr>
        <w:t>, что представлено на диаграмме № 6.</w:t>
      </w:r>
    </w:p>
    <w:p w:rsidR="00E33505" w:rsidRDefault="00E33505" w:rsidP="00366AC8">
      <w:pPr>
        <w:pStyle w:val="af0"/>
        <w:adjustRightInd w:val="0"/>
        <w:ind w:left="0"/>
        <w:jc w:val="both"/>
        <w:rPr>
          <w:sz w:val="28"/>
          <w:szCs w:val="28"/>
        </w:rPr>
      </w:pPr>
      <w:r>
        <w:rPr>
          <w:sz w:val="28"/>
          <w:szCs w:val="28"/>
        </w:rPr>
        <w:t xml:space="preserve">                                                                                  Диаграмма № 6</w:t>
      </w:r>
    </w:p>
    <w:p w:rsidR="00E33505" w:rsidRDefault="00366AC8" w:rsidP="00B2348C">
      <w:pPr>
        <w:adjustRightInd w:val="0"/>
        <w:ind w:right="-1" w:firstLine="284"/>
        <w:jc w:val="both"/>
        <w:rPr>
          <w:sz w:val="28"/>
          <w:szCs w:val="28"/>
        </w:rPr>
      </w:pPr>
      <w:r>
        <w:rPr>
          <w:sz w:val="28"/>
          <w:szCs w:val="28"/>
        </w:rPr>
        <w:t xml:space="preserve">                           </w:t>
      </w:r>
      <w:r w:rsidRPr="00366AC8">
        <w:rPr>
          <w:noProof/>
          <w:sz w:val="28"/>
          <w:szCs w:val="28"/>
        </w:rPr>
        <w:drawing>
          <wp:inline distT="0" distB="0" distL="0" distR="0">
            <wp:extent cx="3895725" cy="1943100"/>
            <wp:effectExtent l="19050" t="0" r="9525" b="0"/>
            <wp:docPr id="11"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B12F79" w:rsidRPr="00F40C3A" w:rsidRDefault="009574DD" w:rsidP="00B12F79">
      <w:pPr>
        <w:pStyle w:val="af1"/>
        <w:shd w:val="clear" w:color="auto" w:fill="FFFFFF"/>
        <w:spacing w:before="0" w:beforeAutospacing="0" w:after="0" w:afterAutospacing="0"/>
        <w:jc w:val="both"/>
        <w:textAlignment w:val="top"/>
        <w:rPr>
          <w:sz w:val="28"/>
          <w:szCs w:val="28"/>
        </w:rPr>
      </w:pPr>
      <w:r>
        <w:rPr>
          <w:b/>
          <w:color w:val="000080"/>
          <w:sz w:val="28"/>
          <w:szCs w:val="28"/>
        </w:rPr>
        <w:lastRenderedPageBreak/>
        <w:t>3.</w:t>
      </w:r>
      <w:r w:rsidR="00B12F79" w:rsidRPr="00566C5C">
        <w:rPr>
          <w:b/>
          <w:color w:val="000080"/>
          <w:sz w:val="28"/>
          <w:szCs w:val="28"/>
        </w:rPr>
        <w:t>Приватизаци</w:t>
      </w:r>
      <w:r w:rsidR="00B12F79">
        <w:rPr>
          <w:b/>
          <w:color w:val="000080"/>
          <w:sz w:val="28"/>
          <w:szCs w:val="28"/>
        </w:rPr>
        <w:t>я</w:t>
      </w:r>
      <w:r w:rsidR="00B12F79" w:rsidRPr="00566C5C">
        <w:rPr>
          <w:b/>
          <w:color w:val="000080"/>
          <w:sz w:val="28"/>
          <w:szCs w:val="28"/>
        </w:rPr>
        <w:t xml:space="preserve"> муниципального имущества.</w:t>
      </w:r>
    </w:p>
    <w:p w:rsidR="00062789" w:rsidRPr="00A228FC" w:rsidRDefault="009E3A27" w:rsidP="00062789">
      <w:pPr>
        <w:ind w:firstLine="426"/>
        <w:jc w:val="both"/>
        <w:rPr>
          <w:sz w:val="28"/>
          <w:szCs w:val="28"/>
        </w:rPr>
      </w:pPr>
      <w:r w:rsidRPr="00A228FC">
        <w:rPr>
          <w:sz w:val="28"/>
          <w:szCs w:val="28"/>
        </w:rPr>
        <w:t xml:space="preserve">За этот период проведено 16 торгов, выставлено 67 объектов, продано 24  на сумму 41 млн.руб. (в т.ч. 5 объектов с земельными участками и пакет акций на 3 млн.руб.). </w:t>
      </w:r>
      <w:r w:rsidR="000C0088" w:rsidRPr="00A228FC">
        <w:rPr>
          <w:sz w:val="28"/>
          <w:szCs w:val="28"/>
        </w:rPr>
        <w:t>(Диаграмма №</w:t>
      </w:r>
      <w:r w:rsidR="009574DD">
        <w:rPr>
          <w:sz w:val="28"/>
          <w:szCs w:val="28"/>
        </w:rPr>
        <w:t xml:space="preserve"> 7</w:t>
      </w:r>
      <w:r w:rsidR="000C0088" w:rsidRPr="00A228FC">
        <w:rPr>
          <w:sz w:val="28"/>
          <w:szCs w:val="28"/>
        </w:rPr>
        <w:t>).</w:t>
      </w:r>
    </w:p>
    <w:p w:rsidR="009E3A27" w:rsidRDefault="00062789" w:rsidP="00811F7B">
      <w:pPr>
        <w:ind w:firstLine="426"/>
        <w:jc w:val="both"/>
        <w:rPr>
          <w:sz w:val="28"/>
          <w:szCs w:val="28"/>
        </w:rPr>
      </w:pPr>
      <w:r w:rsidRPr="00A228FC">
        <w:rPr>
          <w:sz w:val="28"/>
          <w:szCs w:val="28"/>
        </w:rPr>
        <w:t xml:space="preserve">В 2015 году работа по </w:t>
      </w:r>
      <w:r w:rsidR="00811F7B" w:rsidRPr="00A228FC">
        <w:rPr>
          <w:sz w:val="28"/>
          <w:szCs w:val="28"/>
        </w:rPr>
        <w:t xml:space="preserve">продаже имущества будет продолжена. Так, уже объявлено о проведении ряда торгов на 1 квартал 2014г – на 03.02.2015г выставлено 5 объектов, </w:t>
      </w:r>
      <w:r w:rsidR="00AF19EB" w:rsidRPr="00A228FC">
        <w:rPr>
          <w:sz w:val="28"/>
          <w:szCs w:val="28"/>
        </w:rPr>
        <w:t>в</w:t>
      </w:r>
      <w:r w:rsidR="00811F7B" w:rsidRPr="00A228FC">
        <w:rPr>
          <w:sz w:val="28"/>
          <w:szCs w:val="28"/>
        </w:rPr>
        <w:t xml:space="preserve"> март</w:t>
      </w:r>
      <w:r w:rsidR="00AF19EB" w:rsidRPr="00A228FC">
        <w:rPr>
          <w:sz w:val="28"/>
          <w:szCs w:val="28"/>
        </w:rPr>
        <w:t>е</w:t>
      </w:r>
      <w:r w:rsidR="00811F7B" w:rsidRPr="00A228FC">
        <w:rPr>
          <w:sz w:val="28"/>
          <w:szCs w:val="28"/>
        </w:rPr>
        <w:t xml:space="preserve"> 2014г будет выставлено 6 объектов.</w:t>
      </w:r>
      <w:r>
        <w:rPr>
          <w:sz w:val="28"/>
          <w:szCs w:val="28"/>
        </w:rPr>
        <w:t xml:space="preserve"> </w:t>
      </w:r>
    </w:p>
    <w:p w:rsidR="009E3A27" w:rsidRDefault="009E3A27" w:rsidP="009E3A27">
      <w:pPr>
        <w:adjustRightInd w:val="0"/>
        <w:ind w:firstLine="142"/>
        <w:jc w:val="both"/>
        <w:rPr>
          <w:sz w:val="28"/>
          <w:szCs w:val="28"/>
        </w:rPr>
      </w:pPr>
      <w:r>
        <w:rPr>
          <w:sz w:val="28"/>
          <w:szCs w:val="28"/>
        </w:rPr>
        <w:t xml:space="preserve">                                                                           Диаграмма № </w:t>
      </w:r>
      <w:r w:rsidR="009574DD">
        <w:rPr>
          <w:sz w:val="28"/>
          <w:szCs w:val="28"/>
        </w:rPr>
        <w:t>7</w:t>
      </w:r>
    </w:p>
    <w:p w:rsidR="009E3A27" w:rsidRDefault="009E3A27" w:rsidP="009E3A27">
      <w:pPr>
        <w:contextualSpacing/>
        <w:jc w:val="both"/>
        <w:rPr>
          <w:sz w:val="28"/>
          <w:szCs w:val="28"/>
        </w:rPr>
      </w:pPr>
      <w:r>
        <w:rPr>
          <w:sz w:val="28"/>
          <w:szCs w:val="28"/>
        </w:rPr>
        <w:t xml:space="preserve">                            </w:t>
      </w:r>
      <w:r w:rsidRPr="009E3A27">
        <w:rPr>
          <w:noProof/>
          <w:sz w:val="28"/>
          <w:szCs w:val="28"/>
        </w:rPr>
        <w:drawing>
          <wp:inline distT="0" distB="0" distL="0" distR="0">
            <wp:extent cx="4029075" cy="2609850"/>
            <wp:effectExtent l="19050" t="0" r="9525" b="0"/>
            <wp:docPr id="5"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9E3A27" w:rsidRDefault="009E3A27" w:rsidP="009E3A27">
      <w:pPr>
        <w:contextualSpacing/>
        <w:jc w:val="both"/>
        <w:rPr>
          <w:sz w:val="28"/>
          <w:szCs w:val="28"/>
        </w:rPr>
      </w:pPr>
      <w:r>
        <w:rPr>
          <w:sz w:val="28"/>
          <w:szCs w:val="28"/>
        </w:rPr>
        <w:t xml:space="preserve">  </w:t>
      </w:r>
    </w:p>
    <w:p w:rsidR="003F57F1" w:rsidRPr="00A228FC" w:rsidRDefault="009E3A27" w:rsidP="009E3A27">
      <w:pPr>
        <w:contextualSpacing/>
        <w:jc w:val="both"/>
        <w:rPr>
          <w:sz w:val="28"/>
          <w:szCs w:val="28"/>
        </w:rPr>
      </w:pPr>
      <w:r>
        <w:rPr>
          <w:sz w:val="28"/>
          <w:szCs w:val="28"/>
        </w:rPr>
        <w:t xml:space="preserve">     </w:t>
      </w:r>
      <w:r w:rsidR="003F57F1">
        <w:rPr>
          <w:sz w:val="28"/>
          <w:szCs w:val="28"/>
        </w:rPr>
        <w:t xml:space="preserve"> </w:t>
      </w:r>
      <w:r w:rsidRPr="00A228FC">
        <w:rPr>
          <w:sz w:val="28"/>
          <w:szCs w:val="28"/>
        </w:rPr>
        <w:t>Пре</w:t>
      </w:r>
      <w:r w:rsidR="003F57F1" w:rsidRPr="00A228FC">
        <w:rPr>
          <w:sz w:val="28"/>
          <w:szCs w:val="28"/>
        </w:rPr>
        <w:t>имущественно</w:t>
      </w:r>
      <w:r w:rsidRPr="00A228FC">
        <w:rPr>
          <w:sz w:val="28"/>
          <w:szCs w:val="28"/>
        </w:rPr>
        <w:t>е</w:t>
      </w:r>
      <w:r w:rsidR="003F57F1" w:rsidRPr="00A228FC">
        <w:rPr>
          <w:sz w:val="28"/>
          <w:szCs w:val="28"/>
        </w:rPr>
        <w:t xml:space="preserve"> прав</w:t>
      </w:r>
      <w:r w:rsidRPr="00A228FC">
        <w:rPr>
          <w:sz w:val="28"/>
          <w:szCs w:val="28"/>
        </w:rPr>
        <w:t>о арендаторов (159-ФЗ) реализовано по 34 объектам</w:t>
      </w:r>
      <w:r w:rsidR="003F57F1" w:rsidRPr="00A228FC">
        <w:rPr>
          <w:sz w:val="28"/>
          <w:szCs w:val="28"/>
        </w:rPr>
        <w:t xml:space="preserve"> на сумму 41 млн.руб.</w:t>
      </w:r>
      <w:r w:rsidRPr="00A228FC">
        <w:rPr>
          <w:sz w:val="28"/>
          <w:szCs w:val="28"/>
        </w:rPr>
        <w:t xml:space="preserve">, из них арендаторы 2-х объектов произвели оплату покупки без рассрочки, по остальным объектам рассрочка предоставлена на 3 года.  </w:t>
      </w:r>
    </w:p>
    <w:p w:rsidR="00347F58" w:rsidRPr="00A228FC" w:rsidRDefault="009574DD" w:rsidP="00347F58">
      <w:pPr>
        <w:contextualSpacing/>
        <w:jc w:val="both"/>
        <w:rPr>
          <w:b/>
          <w:color w:val="000099"/>
          <w:sz w:val="28"/>
          <w:szCs w:val="28"/>
        </w:rPr>
      </w:pPr>
      <w:r>
        <w:rPr>
          <w:b/>
          <w:color w:val="000080"/>
          <w:sz w:val="28"/>
          <w:szCs w:val="28"/>
        </w:rPr>
        <w:t>4</w:t>
      </w:r>
      <w:r w:rsidR="00B12F79" w:rsidRPr="00A228FC">
        <w:rPr>
          <w:b/>
          <w:color w:val="000080"/>
          <w:sz w:val="28"/>
          <w:szCs w:val="28"/>
        </w:rPr>
        <w:t xml:space="preserve">. </w:t>
      </w:r>
      <w:r w:rsidR="00347F58" w:rsidRPr="00A228FC">
        <w:rPr>
          <w:b/>
          <w:color w:val="000099"/>
          <w:sz w:val="28"/>
          <w:szCs w:val="28"/>
        </w:rPr>
        <w:t xml:space="preserve">Аренда земельных участков. </w:t>
      </w:r>
    </w:p>
    <w:p w:rsidR="000D17DD" w:rsidRPr="00A228FC" w:rsidRDefault="00347F58" w:rsidP="000D17DD">
      <w:pPr>
        <w:adjustRightInd w:val="0"/>
        <w:jc w:val="both"/>
        <w:rPr>
          <w:sz w:val="28"/>
          <w:szCs w:val="28"/>
        </w:rPr>
      </w:pPr>
      <w:r w:rsidRPr="00A228FC">
        <w:rPr>
          <w:sz w:val="28"/>
          <w:szCs w:val="28"/>
        </w:rPr>
        <w:t xml:space="preserve">     </w:t>
      </w:r>
      <w:r w:rsidR="000D17DD" w:rsidRPr="00A228FC">
        <w:rPr>
          <w:sz w:val="28"/>
          <w:szCs w:val="28"/>
        </w:rPr>
        <w:t xml:space="preserve">С целью исполнения претензионной работы </w:t>
      </w:r>
      <w:r w:rsidR="00FA5843" w:rsidRPr="00A228FC">
        <w:rPr>
          <w:sz w:val="28"/>
          <w:szCs w:val="28"/>
        </w:rPr>
        <w:t>861</w:t>
      </w:r>
      <w:r w:rsidR="000D17DD" w:rsidRPr="00A228FC">
        <w:rPr>
          <w:sz w:val="28"/>
          <w:szCs w:val="28"/>
        </w:rPr>
        <w:t xml:space="preserve"> плательщик</w:t>
      </w:r>
      <w:r w:rsidR="00FA5843" w:rsidRPr="00A228FC">
        <w:rPr>
          <w:sz w:val="28"/>
          <w:szCs w:val="28"/>
        </w:rPr>
        <w:t>у</w:t>
      </w:r>
      <w:r w:rsidR="000D17DD" w:rsidRPr="00A228FC">
        <w:rPr>
          <w:sz w:val="28"/>
          <w:szCs w:val="28"/>
        </w:rPr>
        <w:t xml:space="preserve"> с объемом задолженности в сумме </w:t>
      </w:r>
      <w:r w:rsidR="00FA5843" w:rsidRPr="00A228FC">
        <w:rPr>
          <w:sz w:val="28"/>
          <w:szCs w:val="28"/>
        </w:rPr>
        <w:t>97 млн.</w:t>
      </w:r>
      <w:r w:rsidR="000D17DD" w:rsidRPr="00A228FC">
        <w:rPr>
          <w:sz w:val="28"/>
          <w:szCs w:val="28"/>
        </w:rPr>
        <w:t xml:space="preserve">руб. направлены </w:t>
      </w:r>
      <w:r w:rsidR="00FA5843" w:rsidRPr="00A228FC">
        <w:rPr>
          <w:sz w:val="28"/>
          <w:szCs w:val="28"/>
        </w:rPr>
        <w:t xml:space="preserve">претензии о ее </w:t>
      </w:r>
      <w:r w:rsidR="000D17DD" w:rsidRPr="00A228FC">
        <w:rPr>
          <w:sz w:val="28"/>
          <w:szCs w:val="28"/>
        </w:rPr>
        <w:t>погашении, из них удовлетворен</w:t>
      </w:r>
      <w:r w:rsidR="00FA5843" w:rsidRPr="00A228FC">
        <w:rPr>
          <w:sz w:val="28"/>
          <w:szCs w:val="28"/>
        </w:rPr>
        <w:t>о 389</w:t>
      </w:r>
      <w:r w:rsidR="000D17DD" w:rsidRPr="00A228FC">
        <w:rPr>
          <w:sz w:val="28"/>
          <w:szCs w:val="28"/>
        </w:rPr>
        <w:t xml:space="preserve"> претензи</w:t>
      </w:r>
      <w:r w:rsidR="00FA5843" w:rsidRPr="00A228FC">
        <w:rPr>
          <w:sz w:val="28"/>
          <w:szCs w:val="28"/>
        </w:rPr>
        <w:t>й</w:t>
      </w:r>
      <w:r w:rsidR="000D17DD" w:rsidRPr="00A228FC">
        <w:rPr>
          <w:sz w:val="28"/>
          <w:szCs w:val="28"/>
        </w:rPr>
        <w:t xml:space="preserve"> на сумму 2</w:t>
      </w:r>
      <w:r w:rsidR="00FA5843" w:rsidRPr="00A228FC">
        <w:rPr>
          <w:sz w:val="28"/>
          <w:szCs w:val="28"/>
        </w:rPr>
        <w:t>9 млн.</w:t>
      </w:r>
      <w:r w:rsidR="000D17DD" w:rsidRPr="00A228FC">
        <w:rPr>
          <w:sz w:val="28"/>
          <w:szCs w:val="28"/>
        </w:rPr>
        <w:t xml:space="preserve"> руб.</w:t>
      </w:r>
    </w:p>
    <w:p w:rsidR="000D17DD" w:rsidRPr="00A228FC" w:rsidRDefault="000D17DD" w:rsidP="000D17DD">
      <w:pPr>
        <w:adjustRightInd w:val="0"/>
        <w:jc w:val="both"/>
        <w:rPr>
          <w:sz w:val="28"/>
          <w:szCs w:val="28"/>
        </w:rPr>
      </w:pPr>
      <w:r w:rsidRPr="00A228FC">
        <w:rPr>
          <w:sz w:val="28"/>
          <w:szCs w:val="28"/>
        </w:rPr>
        <w:t xml:space="preserve">     </w:t>
      </w:r>
      <w:r w:rsidR="00132C01" w:rsidRPr="00A228FC">
        <w:rPr>
          <w:sz w:val="28"/>
          <w:szCs w:val="28"/>
        </w:rPr>
        <w:t xml:space="preserve">С целью возникновения денежных обязательств в соответствии со ст. 5.134 </w:t>
      </w:r>
      <w:r w:rsidR="007F646F">
        <w:rPr>
          <w:sz w:val="28"/>
          <w:szCs w:val="28"/>
        </w:rPr>
        <w:t xml:space="preserve">от 26.10.2002 № </w:t>
      </w:r>
      <w:r w:rsidR="00132C01" w:rsidRPr="00A228FC">
        <w:rPr>
          <w:sz w:val="28"/>
          <w:szCs w:val="28"/>
        </w:rPr>
        <w:t>127-ФЗ</w:t>
      </w:r>
      <w:r w:rsidR="007F646F">
        <w:rPr>
          <w:sz w:val="28"/>
          <w:szCs w:val="28"/>
        </w:rPr>
        <w:t xml:space="preserve"> «О несостоятельности (банкротстве)»</w:t>
      </w:r>
      <w:r w:rsidR="00132C01" w:rsidRPr="00A228FC">
        <w:rPr>
          <w:sz w:val="28"/>
          <w:szCs w:val="28"/>
        </w:rPr>
        <w:t xml:space="preserve"> направлено требование кредитора на общую сумму задолженности в размере 129 тыс.руб. </w:t>
      </w:r>
      <w:r w:rsidRPr="00A228FC">
        <w:rPr>
          <w:sz w:val="28"/>
          <w:szCs w:val="28"/>
        </w:rPr>
        <w:t>С целью увеличения доходов бюджета с арендаторами проводятся консультации по вопросам порядка, сроков внесения и необходимости ежегодного представления сводных расчетов годового размера арендной платы за землю. Так, за отчетный период принято 487 расчетов на 181 млн.руб.</w:t>
      </w:r>
    </w:p>
    <w:p w:rsidR="00610F08" w:rsidRPr="00A228FC" w:rsidRDefault="00610F08" w:rsidP="00610F08">
      <w:pPr>
        <w:ind w:right="-5"/>
        <w:jc w:val="both"/>
        <w:rPr>
          <w:sz w:val="28"/>
          <w:szCs w:val="28"/>
        </w:rPr>
      </w:pPr>
      <w:r w:rsidRPr="00A228FC">
        <w:rPr>
          <w:sz w:val="28"/>
          <w:szCs w:val="28"/>
        </w:rPr>
        <w:t xml:space="preserve">      В целях принудительного исполнения денежных обязательств по заключенным договорам аренды земельных участков, для подготовки исковых заявлений в суды различных инстанций направлен 151</w:t>
      </w:r>
      <w:r w:rsidR="007F646F">
        <w:rPr>
          <w:sz w:val="28"/>
          <w:szCs w:val="28"/>
        </w:rPr>
        <w:t xml:space="preserve"> пакет документов</w:t>
      </w:r>
      <w:r w:rsidRPr="00A228FC">
        <w:rPr>
          <w:sz w:val="28"/>
          <w:szCs w:val="28"/>
        </w:rPr>
        <w:t xml:space="preserve"> с расчетами задолженности по арендной плате на 149 млн. руб. </w:t>
      </w:r>
    </w:p>
    <w:p w:rsidR="00610F08" w:rsidRPr="00A228FC" w:rsidRDefault="00D1232E" w:rsidP="00D1232E">
      <w:pPr>
        <w:ind w:right="-5"/>
        <w:jc w:val="both"/>
        <w:rPr>
          <w:sz w:val="28"/>
          <w:szCs w:val="28"/>
        </w:rPr>
      </w:pPr>
      <w:r w:rsidRPr="00A228FC">
        <w:rPr>
          <w:sz w:val="28"/>
          <w:szCs w:val="28"/>
        </w:rPr>
        <w:t xml:space="preserve">      </w:t>
      </w:r>
      <w:r w:rsidR="00610F08" w:rsidRPr="00A228FC">
        <w:rPr>
          <w:sz w:val="28"/>
          <w:szCs w:val="28"/>
        </w:rPr>
        <w:t>По мировым соглашениям, заключенным в результате судебного разбирательства оплачена задолженност</w:t>
      </w:r>
      <w:r w:rsidRPr="00A228FC">
        <w:rPr>
          <w:sz w:val="28"/>
          <w:szCs w:val="28"/>
        </w:rPr>
        <w:t xml:space="preserve">ь </w:t>
      </w:r>
      <w:r w:rsidR="00610F08" w:rsidRPr="00A228FC">
        <w:rPr>
          <w:sz w:val="28"/>
          <w:szCs w:val="28"/>
        </w:rPr>
        <w:t>в размере 6</w:t>
      </w:r>
      <w:r w:rsidRPr="00A228FC">
        <w:rPr>
          <w:sz w:val="28"/>
          <w:szCs w:val="28"/>
        </w:rPr>
        <w:t xml:space="preserve"> млн.</w:t>
      </w:r>
      <w:r w:rsidR="00610F08" w:rsidRPr="00A228FC">
        <w:rPr>
          <w:sz w:val="28"/>
          <w:szCs w:val="28"/>
        </w:rPr>
        <w:t xml:space="preserve"> руб. </w:t>
      </w:r>
    </w:p>
    <w:p w:rsidR="00347F58" w:rsidRDefault="000D17DD" w:rsidP="00FA3029">
      <w:pPr>
        <w:adjustRightInd w:val="0"/>
        <w:jc w:val="both"/>
        <w:rPr>
          <w:b/>
          <w:color w:val="000080"/>
          <w:sz w:val="28"/>
          <w:szCs w:val="28"/>
        </w:rPr>
      </w:pPr>
      <w:r w:rsidRPr="00A228FC">
        <w:rPr>
          <w:sz w:val="28"/>
          <w:szCs w:val="28"/>
        </w:rPr>
        <w:t xml:space="preserve">     </w:t>
      </w:r>
      <w:r w:rsidR="0053539E" w:rsidRPr="00A228FC">
        <w:rPr>
          <w:sz w:val="28"/>
          <w:szCs w:val="28"/>
        </w:rPr>
        <w:t xml:space="preserve"> За это период проведено 12</w:t>
      </w:r>
      <w:r w:rsidRPr="00A228FC">
        <w:rPr>
          <w:sz w:val="28"/>
          <w:szCs w:val="28"/>
        </w:rPr>
        <w:t xml:space="preserve"> заседаний комиссии, </w:t>
      </w:r>
      <w:r w:rsidR="0053539E" w:rsidRPr="00A228FC">
        <w:rPr>
          <w:sz w:val="28"/>
          <w:szCs w:val="28"/>
        </w:rPr>
        <w:t xml:space="preserve">где </w:t>
      </w:r>
      <w:r w:rsidRPr="00A228FC">
        <w:rPr>
          <w:sz w:val="28"/>
          <w:szCs w:val="28"/>
        </w:rPr>
        <w:t xml:space="preserve">рассмотрены материалы в отношении  </w:t>
      </w:r>
      <w:r w:rsidR="0053539E" w:rsidRPr="00A228FC">
        <w:rPr>
          <w:sz w:val="28"/>
          <w:szCs w:val="28"/>
        </w:rPr>
        <w:t>359</w:t>
      </w:r>
      <w:r w:rsidRPr="00A228FC">
        <w:rPr>
          <w:sz w:val="28"/>
          <w:szCs w:val="28"/>
        </w:rPr>
        <w:t xml:space="preserve"> должников с суммой задолженности в размере </w:t>
      </w:r>
      <w:r w:rsidR="0053539E" w:rsidRPr="00A228FC">
        <w:rPr>
          <w:sz w:val="28"/>
          <w:szCs w:val="28"/>
        </w:rPr>
        <w:t xml:space="preserve">87 млн. </w:t>
      </w:r>
      <w:r w:rsidRPr="00A228FC">
        <w:rPr>
          <w:sz w:val="28"/>
          <w:szCs w:val="28"/>
        </w:rPr>
        <w:t>руб. По результатам работы комиссии оплачен</w:t>
      </w:r>
      <w:r w:rsidR="0053539E" w:rsidRPr="00A228FC">
        <w:rPr>
          <w:sz w:val="28"/>
          <w:szCs w:val="28"/>
        </w:rPr>
        <w:t xml:space="preserve"> 31 млн.</w:t>
      </w:r>
      <w:r w:rsidRPr="00A228FC">
        <w:rPr>
          <w:sz w:val="28"/>
          <w:szCs w:val="28"/>
        </w:rPr>
        <w:t>руб.</w:t>
      </w:r>
      <w:r w:rsidR="0064248A" w:rsidRPr="00A228FC">
        <w:rPr>
          <w:sz w:val="28"/>
          <w:szCs w:val="28"/>
        </w:rPr>
        <w:t>, что в 1,6 раз больше уровня 2013 года (19 млн.руб.)</w:t>
      </w:r>
      <w:r w:rsidR="0053539E">
        <w:rPr>
          <w:sz w:val="28"/>
          <w:szCs w:val="28"/>
        </w:rPr>
        <w:t xml:space="preserve"> </w:t>
      </w:r>
    </w:p>
    <w:p w:rsidR="00F85EBE" w:rsidRDefault="00F85EBE" w:rsidP="00A77877">
      <w:pPr>
        <w:jc w:val="both"/>
        <w:rPr>
          <w:b/>
          <w:color w:val="000099"/>
          <w:sz w:val="28"/>
          <w:szCs w:val="28"/>
        </w:rPr>
      </w:pPr>
    </w:p>
    <w:p w:rsidR="00F85EBE" w:rsidRDefault="00F85EBE" w:rsidP="00A77877">
      <w:pPr>
        <w:jc w:val="both"/>
        <w:rPr>
          <w:b/>
          <w:color w:val="000099"/>
          <w:sz w:val="28"/>
          <w:szCs w:val="28"/>
        </w:rPr>
      </w:pPr>
    </w:p>
    <w:p w:rsidR="00276025" w:rsidRDefault="009574DD" w:rsidP="00A77877">
      <w:pPr>
        <w:jc w:val="both"/>
        <w:rPr>
          <w:b/>
          <w:color w:val="000099"/>
          <w:sz w:val="28"/>
          <w:szCs w:val="28"/>
        </w:rPr>
      </w:pPr>
      <w:r>
        <w:rPr>
          <w:b/>
          <w:color w:val="000099"/>
          <w:sz w:val="28"/>
          <w:szCs w:val="28"/>
        </w:rPr>
        <w:lastRenderedPageBreak/>
        <w:t>5</w:t>
      </w:r>
      <w:r w:rsidR="00276025">
        <w:rPr>
          <w:b/>
          <w:color w:val="000099"/>
          <w:sz w:val="28"/>
          <w:szCs w:val="28"/>
        </w:rPr>
        <w:t>.Проведение работ для формирования реестра на земельные участки</w:t>
      </w:r>
    </w:p>
    <w:p w:rsidR="00276025" w:rsidRPr="00276025" w:rsidRDefault="00276025" w:rsidP="00A77877">
      <w:pPr>
        <w:jc w:val="both"/>
        <w:rPr>
          <w:sz w:val="28"/>
          <w:szCs w:val="28"/>
        </w:rPr>
      </w:pPr>
      <w:r>
        <w:rPr>
          <w:b/>
          <w:color w:val="000099"/>
          <w:sz w:val="28"/>
          <w:szCs w:val="28"/>
        </w:rPr>
        <w:t xml:space="preserve">     </w:t>
      </w:r>
      <w:r w:rsidRPr="00A228FC">
        <w:rPr>
          <w:sz w:val="28"/>
          <w:szCs w:val="28"/>
        </w:rPr>
        <w:t>По состоянию на 01.01.2015 года зарегистрировано право собственности МО «Город Астрахань» на 456 земельных участков площадью 857,16 га, из них в 2014 году – на 36 участков площадью 18,47 га. Проведение этих работ</w:t>
      </w:r>
      <w:r w:rsidR="006654D5" w:rsidRPr="00A228FC">
        <w:rPr>
          <w:sz w:val="28"/>
          <w:szCs w:val="28"/>
        </w:rPr>
        <w:t xml:space="preserve"> за период с 2007 по 2014 годы представлено на диаграмме № </w:t>
      </w:r>
      <w:r w:rsidR="00C83552">
        <w:rPr>
          <w:sz w:val="28"/>
          <w:szCs w:val="28"/>
        </w:rPr>
        <w:t>8</w:t>
      </w:r>
      <w:r w:rsidR="00A228FC">
        <w:rPr>
          <w:sz w:val="28"/>
          <w:szCs w:val="28"/>
        </w:rPr>
        <w:t>.</w:t>
      </w:r>
      <w:r w:rsidR="006654D5">
        <w:rPr>
          <w:sz w:val="28"/>
          <w:szCs w:val="28"/>
        </w:rPr>
        <w:t xml:space="preserve"> </w:t>
      </w:r>
      <w:r>
        <w:rPr>
          <w:sz w:val="28"/>
          <w:szCs w:val="28"/>
        </w:rPr>
        <w:t xml:space="preserve"> </w:t>
      </w:r>
    </w:p>
    <w:p w:rsidR="00276025" w:rsidRDefault="00276025" w:rsidP="00A77877">
      <w:pPr>
        <w:jc w:val="both"/>
        <w:rPr>
          <w:b/>
          <w:color w:val="000099"/>
          <w:sz w:val="28"/>
          <w:szCs w:val="28"/>
        </w:rPr>
      </w:pPr>
    </w:p>
    <w:p w:rsidR="006654D5" w:rsidRDefault="006654D5" w:rsidP="00BF3140">
      <w:pPr>
        <w:adjustRightInd w:val="0"/>
        <w:ind w:firstLine="142"/>
        <w:jc w:val="both"/>
        <w:rPr>
          <w:b/>
          <w:color w:val="000099"/>
          <w:sz w:val="28"/>
          <w:szCs w:val="28"/>
        </w:rPr>
      </w:pPr>
      <w:r>
        <w:rPr>
          <w:sz w:val="28"/>
          <w:szCs w:val="28"/>
        </w:rPr>
        <w:t xml:space="preserve">                                                                                        Диаграмма № </w:t>
      </w:r>
      <w:r w:rsidR="00C83552">
        <w:rPr>
          <w:sz w:val="28"/>
          <w:szCs w:val="28"/>
        </w:rPr>
        <w:t>8</w:t>
      </w:r>
    </w:p>
    <w:p w:rsidR="006654D5" w:rsidRDefault="00BF3140" w:rsidP="00A77877">
      <w:pPr>
        <w:jc w:val="both"/>
        <w:rPr>
          <w:b/>
          <w:color w:val="000099"/>
          <w:sz w:val="28"/>
          <w:szCs w:val="28"/>
        </w:rPr>
      </w:pPr>
      <w:r>
        <w:rPr>
          <w:b/>
          <w:color w:val="000099"/>
          <w:sz w:val="28"/>
          <w:szCs w:val="28"/>
        </w:rPr>
        <w:t xml:space="preserve">      </w:t>
      </w:r>
      <w:r w:rsidR="0055475B" w:rsidRPr="0055475B">
        <w:rPr>
          <w:b/>
          <w:noProof/>
          <w:color w:val="000099"/>
          <w:sz w:val="28"/>
          <w:szCs w:val="28"/>
        </w:rPr>
        <w:drawing>
          <wp:inline distT="0" distB="0" distL="0" distR="0">
            <wp:extent cx="5743575" cy="2895600"/>
            <wp:effectExtent l="19050" t="0" r="9525" b="0"/>
            <wp:docPr id="12"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6654D5" w:rsidRDefault="006654D5" w:rsidP="00A77877">
      <w:pPr>
        <w:jc w:val="both"/>
        <w:rPr>
          <w:b/>
          <w:color w:val="000099"/>
          <w:sz w:val="28"/>
          <w:szCs w:val="28"/>
        </w:rPr>
      </w:pPr>
    </w:p>
    <w:p w:rsidR="006654D5" w:rsidRPr="000824E2" w:rsidRDefault="000824E2" w:rsidP="00A77877">
      <w:pPr>
        <w:jc w:val="both"/>
        <w:rPr>
          <w:sz w:val="28"/>
          <w:szCs w:val="28"/>
        </w:rPr>
      </w:pPr>
      <w:r>
        <w:rPr>
          <w:sz w:val="28"/>
          <w:szCs w:val="28"/>
        </w:rPr>
        <w:t xml:space="preserve">     </w:t>
      </w:r>
      <w:r w:rsidRPr="00A228FC">
        <w:rPr>
          <w:sz w:val="28"/>
          <w:szCs w:val="28"/>
        </w:rPr>
        <w:t>Для эксплуатации многоквартирных домов сформировано 1 526 земельных участк</w:t>
      </w:r>
      <w:r w:rsidR="007F646F">
        <w:rPr>
          <w:sz w:val="28"/>
          <w:szCs w:val="28"/>
        </w:rPr>
        <w:t>ов</w:t>
      </w:r>
      <w:r w:rsidRPr="00A228FC">
        <w:rPr>
          <w:sz w:val="28"/>
          <w:szCs w:val="28"/>
        </w:rPr>
        <w:t>, в том числе в 2014 году – 97 участков. Поставлено на государственный кадастровый учет 995 земельных участк</w:t>
      </w:r>
      <w:r w:rsidR="00CD2BC4" w:rsidRPr="00A228FC">
        <w:rPr>
          <w:sz w:val="28"/>
          <w:szCs w:val="28"/>
        </w:rPr>
        <w:t>ов</w:t>
      </w:r>
      <w:r w:rsidRPr="00A228FC">
        <w:rPr>
          <w:sz w:val="28"/>
          <w:szCs w:val="28"/>
        </w:rPr>
        <w:t>, в том числе в 2014 году – 61 участок, что представлено на диаграмме</w:t>
      </w:r>
      <w:r w:rsidR="00D50B0D" w:rsidRPr="00A228FC">
        <w:rPr>
          <w:sz w:val="28"/>
          <w:szCs w:val="28"/>
        </w:rPr>
        <w:t xml:space="preserve"> № </w:t>
      </w:r>
      <w:r w:rsidR="00C83552">
        <w:rPr>
          <w:sz w:val="28"/>
          <w:szCs w:val="28"/>
        </w:rPr>
        <w:t>9</w:t>
      </w:r>
      <w:r w:rsidRPr="00A228FC">
        <w:rPr>
          <w:sz w:val="28"/>
          <w:szCs w:val="28"/>
        </w:rPr>
        <w:t>.</w:t>
      </w:r>
      <w:r w:rsidRPr="000824E2">
        <w:rPr>
          <w:sz w:val="28"/>
          <w:szCs w:val="28"/>
        </w:rPr>
        <w:t xml:space="preserve"> </w:t>
      </w:r>
    </w:p>
    <w:p w:rsidR="000824E2" w:rsidRDefault="000824E2" w:rsidP="00F32B8E">
      <w:pPr>
        <w:adjustRightInd w:val="0"/>
        <w:ind w:firstLine="142"/>
        <w:jc w:val="both"/>
        <w:rPr>
          <w:sz w:val="28"/>
          <w:szCs w:val="28"/>
        </w:rPr>
      </w:pPr>
      <w:r>
        <w:rPr>
          <w:sz w:val="28"/>
          <w:szCs w:val="28"/>
        </w:rPr>
        <w:t xml:space="preserve">                                                                                        Диаграмма № </w:t>
      </w:r>
      <w:r w:rsidR="00C83552">
        <w:rPr>
          <w:sz w:val="28"/>
          <w:szCs w:val="28"/>
        </w:rPr>
        <w:t>9</w:t>
      </w:r>
    </w:p>
    <w:p w:rsidR="000824E2" w:rsidRDefault="00F32B8E" w:rsidP="00A77877">
      <w:pPr>
        <w:jc w:val="both"/>
        <w:rPr>
          <w:sz w:val="28"/>
          <w:szCs w:val="28"/>
        </w:rPr>
      </w:pPr>
      <w:r>
        <w:rPr>
          <w:sz w:val="28"/>
          <w:szCs w:val="28"/>
        </w:rPr>
        <w:t xml:space="preserve">        </w:t>
      </w:r>
      <w:r w:rsidR="00481AC3" w:rsidRPr="00481AC3">
        <w:rPr>
          <w:noProof/>
          <w:sz w:val="28"/>
          <w:szCs w:val="28"/>
        </w:rPr>
        <w:drawing>
          <wp:inline distT="0" distB="0" distL="0" distR="0">
            <wp:extent cx="5686425" cy="2867025"/>
            <wp:effectExtent l="19050" t="0" r="9525" b="0"/>
            <wp:docPr id="13"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0824E2" w:rsidRDefault="000824E2" w:rsidP="00A77877">
      <w:pPr>
        <w:jc w:val="both"/>
        <w:rPr>
          <w:sz w:val="28"/>
          <w:szCs w:val="28"/>
        </w:rPr>
      </w:pPr>
    </w:p>
    <w:p w:rsidR="00EE7B21" w:rsidRPr="00A228FC" w:rsidRDefault="009574DD" w:rsidP="00574420">
      <w:pPr>
        <w:pStyle w:val="af0"/>
        <w:adjustRightInd w:val="0"/>
        <w:ind w:left="0"/>
        <w:jc w:val="both"/>
        <w:rPr>
          <w:b/>
          <w:color w:val="000099"/>
          <w:sz w:val="28"/>
          <w:szCs w:val="28"/>
        </w:rPr>
      </w:pPr>
      <w:r>
        <w:rPr>
          <w:b/>
          <w:color w:val="000099"/>
          <w:sz w:val="28"/>
          <w:szCs w:val="28"/>
        </w:rPr>
        <w:t>6</w:t>
      </w:r>
      <w:r w:rsidR="00EE7B21" w:rsidRPr="00A228FC">
        <w:rPr>
          <w:b/>
          <w:color w:val="000099"/>
          <w:sz w:val="28"/>
          <w:szCs w:val="28"/>
        </w:rPr>
        <w:t>. Льготное получение земельных участков</w:t>
      </w:r>
    </w:p>
    <w:p w:rsidR="00E31F85" w:rsidRPr="00A228FC" w:rsidRDefault="002D6834" w:rsidP="00574420">
      <w:pPr>
        <w:pStyle w:val="af0"/>
        <w:adjustRightInd w:val="0"/>
        <w:ind w:left="0"/>
        <w:jc w:val="both"/>
        <w:rPr>
          <w:sz w:val="28"/>
          <w:szCs w:val="28"/>
        </w:rPr>
      </w:pPr>
      <w:r w:rsidRPr="00A228FC">
        <w:rPr>
          <w:sz w:val="28"/>
          <w:szCs w:val="28"/>
        </w:rPr>
        <w:t xml:space="preserve"> </w:t>
      </w:r>
      <w:r w:rsidR="00811550" w:rsidRPr="00A228FC">
        <w:rPr>
          <w:sz w:val="28"/>
          <w:szCs w:val="28"/>
        </w:rPr>
        <w:t xml:space="preserve"> </w:t>
      </w:r>
      <w:r w:rsidRPr="00A228FC">
        <w:rPr>
          <w:sz w:val="28"/>
          <w:szCs w:val="28"/>
        </w:rPr>
        <w:t xml:space="preserve">   Особое значение уделяется работе по обращениям граждан, обладающих правом на бесплатное получение земельных участков в собственность в соответствии с</w:t>
      </w:r>
      <w:r w:rsidR="00E31F85" w:rsidRPr="00A228FC">
        <w:rPr>
          <w:sz w:val="28"/>
          <w:szCs w:val="28"/>
        </w:rPr>
        <w:t xml:space="preserve"> Законом Астраханской области №7/2008-ОЗ от 04.03.2008г. «Об </w:t>
      </w:r>
      <w:r w:rsidR="00E31F85" w:rsidRPr="00A228FC">
        <w:rPr>
          <w:sz w:val="28"/>
          <w:szCs w:val="28"/>
        </w:rPr>
        <w:lastRenderedPageBreak/>
        <w:t>отдельных вопросах правового регулирования земельных отношений в Астраханской области».</w:t>
      </w:r>
    </w:p>
    <w:p w:rsidR="008E2C4F" w:rsidRPr="00A228FC" w:rsidRDefault="00811550" w:rsidP="00857D8F">
      <w:pPr>
        <w:pStyle w:val="af0"/>
        <w:adjustRightInd w:val="0"/>
        <w:ind w:left="0"/>
        <w:jc w:val="both"/>
        <w:rPr>
          <w:sz w:val="28"/>
          <w:szCs w:val="28"/>
        </w:rPr>
      </w:pPr>
      <w:r w:rsidRPr="00A228FC">
        <w:rPr>
          <w:sz w:val="28"/>
          <w:szCs w:val="28"/>
        </w:rPr>
        <w:t xml:space="preserve">     Реализовали свое льготное</w:t>
      </w:r>
      <w:r w:rsidR="00803955" w:rsidRPr="00A228FC">
        <w:rPr>
          <w:sz w:val="28"/>
          <w:szCs w:val="28"/>
        </w:rPr>
        <w:t xml:space="preserve"> </w:t>
      </w:r>
      <w:r w:rsidRPr="00A228FC">
        <w:rPr>
          <w:sz w:val="28"/>
          <w:szCs w:val="28"/>
        </w:rPr>
        <w:t>прав</w:t>
      </w:r>
      <w:r w:rsidR="00803955" w:rsidRPr="00A228FC">
        <w:rPr>
          <w:sz w:val="28"/>
          <w:szCs w:val="28"/>
        </w:rPr>
        <w:t xml:space="preserve">о на </w:t>
      </w:r>
      <w:r w:rsidR="00E31F85" w:rsidRPr="00A228FC">
        <w:rPr>
          <w:sz w:val="28"/>
          <w:szCs w:val="28"/>
        </w:rPr>
        <w:t>бесплатно</w:t>
      </w:r>
      <w:r w:rsidR="00803955" w:rsidRPr="00A228FC">
        <w:rPr>
          <w:sz w:val="28"/>
          <w:szCs w:val="28"/>
        </w:rPr>
        <w:t>е</w:t>
      </w:r>
      <w:r w:rsidR="00E31F85" w:rsidRPr="00A228FC">
        <w:rPr>
          <w:sz w:val="28"/>
          <w:szCs w:val="28"/>
        </w:rPr>
        <w:t xml:space="preserve"> предоставлени</w:t>
      </w:r>
      <w:r w:rsidR="00803955" w:rsidRPr="00A228FC">
        <w:rPr>
          <w:sz w:val="28"/>
          <w:szCs w:val="28"/>
        </w:rPr>
        <w:t>е</w:t>
      </w:r>
      <w:r w:rsidR="00E31F85" w:rsidRPr="00A228FC">
        <w:rPr>
          <w:sz w:val="28"/>
          <w:szCs w:val="28"/>
        </w:rPr>
        <w:t xml:space="preserve"> земельных участков </w:t>
      </w:r>
      <w:r w:rsidR="00342963" w:rsidRPr="00A228FC">
        <w:rPr>
          <w:sz w:val="28"/>
          <w:szCs w:val="28"/>
        </w:rPr>
        <w:t xml:space="preserve">94 гражданина - </w:t>
      </w:r>
      <w:r w:rsidR="00E31F85" w:rsidRPr="00A228FC">
        <w:rPr>
          <w:sz w:val="28"/>
          <w:szCs w:val="28"/>
        </w:rPr>
        <w:t>для индивидуального жилищного строительства</w:t>
      </w:r>
      <w:r w:rsidR="00803955" w:rsidRPr="00A228FC">
        <w:rPr>
          <w:sz w:val="28"/>
          <w:szCs w:val="28"/>
        </w:rPr>
        <w:t xml:space="preserve"> и </w:t>
      </w:r>
      <w:r w:rsidR="005F4C34" w:rsidRPr="00A228FC">
        <w:rPr>
          <w:sz w:val="28"/>
          <w:szCs w:val="28"/>
        </w:rPr>
        <w:t>1</w:t>
      </w:r>
      <w:r w:rsidR="00803955" w:rsidRPr="00A228FC">
        <w:rPr>
          <w:sz w:val="28"/>
          <w:szCs w:val="28"/>
        </w:rPr>
        <w:t xml:space="preserve"> - для </w:t>
      </w:r>
      <w:r w:rsidR="00E31F85" w:rsidRPr="00A228FC">
        <w:rPr>
          <w:sz w:val="28"/>
          <w:szCs w:val="28"/>
        </w:rPr>
        <w:t>садоводства</w:t>
      </w:r>
      <w:r w:rsidR="00803955" w:rsidRPr="00A228FC">
        <w:rPr>
          <w:sz w:val="28"/>
          <w:szCs w:val="28"/>
        </w:rPr>
        <w:t>.</w:t>
      </w:r>
    </w:p>
    <w:p w:rsidR="00857D8F" w:rsidRPr="00857D8F" w:rsidRDefault="00857D8F" w:rsidP="00857D8F">
      <w:pPr>
        <w:ind w:right="-6"/>
        <w:jc w:val="both"/>
        <w:rPr>
          <w:sz w:val="28"/>
          <w:szCs w:val="28"/>
        </w:rPr>
      </w:pPr>
      <w:r>
        <w:rPr>
          <w:sz w:val="28"/>
          <w:szCs w:val="28"/>
        </w:rPr>
        <w:t xml:space="preserve">      </w:t>
      </w:r>
      <w:r w:rsidR="00F70EE5" w:rsidRPr="00A228FC">
        <w:rPr>
          <w:sz w:val="28"/>
          <w:szCs w:val="28"/>
        </w:rPr>
        <w:t xml:space="preserve">На сегодняшний день </w:t>
      </w:r>
      <w:r w:rsidR="005F4C34" w:rsidRPr="00A228FC">
        <w:rPr>
          <w:sz w:val="28"/>
          <w:szCs w:val="28"/>
        </w:rPr>
        <w:t xml:space="preserve">на </w:t>
      </w:r>
      <w:r w:rsidR="00E31F85" w:rsidRPr="00A228FC">
        <w:rPr>
          <w:sz w:val="28"/>
          <w:szCs w:val="28"/>
        </w:rPr>
        <w:t>очереди стоит порядка 3</w:t>
      </w:r>
      <w:r w:rsidR="005F4C34" w:rsidRPr="00A228FC">
        <w:rPr>
          <w:sz w:val="28"/>
          <w:szCs w:val="28"/>
        </w:rPr>
        <w:t xml:space="preserve"> </w:t>
      </w:r>
      <w:r w:rsidR="00E31F85" w:rsidRPr="00A228FC">
        <w:rPr>
          <w:sz w:val="28"/>
          <w:szCs w:val="28"/>
        </w:rPr>
        <w:t>266 граждан, нуждающихся в бесплатном предоставлении земельных участков для строительства индивидуальных жилых домов</w:t>
      </w:r>
      <w:r w:rsidR="005F4C34" w:rsidRPr="00A228FC">
        <w:rPr>
          <w:sz w:val="28"/>
          <w:szCs w:val="28"/>
        </w:rPr>
        <w:t xml:space="preserve"> и </w:t>
      </w:r>
      <w:r w:rsidR="00E31F85" w:rsidRPr="00A228FC">
        <w:rPr>
          <w:sz w:val="28"/>
          <w:szCs w:val="28"/>
        </w:rPr>
        <w:t>2</w:t>
      </w:r>
      <w:r w:rsidR="005F4C34" w:rsidRPr="00A228FC">
        <w:rPr>
          <w:sz w:val="28"/>
          <w:szCs w:val="28"/>
        </w:rPr>
        <w:t xml:space="preserve"> </w:t>
      </w:r>
      <w:r w:rsidR="00E31F85" w:rsidRPr="00A228FC">
        <w:rPr>
          <w:sz w:val="28"/>
          <w:szCs w:val="28"/>
        </w:rPr>
        <w:t>899 – для садоводства.</w:t>
      </w:r>
      <w:r w:rsidR="005F4C34" w:rsidRPr="00A228FC">
        <w:rPr>
          <w:sz w:val="28"/>
          <w:szCs w:val="28"/>
        </w:rPr>
        <w:t xml:space="preserve"> Управление проводит активную работу по их предоставлению в порядке очередности обращений от граждан льготной категории.</w:t>
      </w:r>
      <w:r w:rsidRPr="00857D8F">
        <w:rPr>
          <w:sz w:val="28"/>
          <w:szCs w:val="28"/>
        </w:rPr>
        <w:t xml:space="preserve"> За отчетный период отделом поставлено на учет в качестве нуждающихся в бесплатном предоставлении земельных участков  для индивидуального жилищного строительства граждан либо семей льготной категории в количестве – 573, для садоводства – 499.</w:t>
      </w:r>
    </w:p>
    <w:p w:rsidR="005F4C34" w:rsidRPr="00A228FC" w:rsidRDefault="005F4C34" w:rsidP="005F4C34">
      <w:pPr>
        <w:pStyle w:val="af0"/>
        <w:adjustRightInd w:val="0"/>
        <w:ind w:left="0"/>
        <w:jc w:val="both"/>
        <w:rPr>
          <w:sz w:val="28"/>
          <w:szCs w:val="28"/>
        </w:rPr>
      </w:pPr>
      <w:r w:rsidRPr="00A228FC">
        <w:rPr>
          <w:sz w:val="28"/>
          <w:szCs w:val="28"/>
        </w:rPr>
        <w:t xml:space="preserve">     </w:t>
      </w:r>
      <w:r w:rsidR="00F70EE5" w:rsidRPr="00A228FC">
        <w:rPr>
          <w:sz w:val="28"/>
          <w:szCs w:val="28"/>
        </w:rPr>
        <w:t>За этот период у</w:t>
      </w:r>
      <w:r w:rsidRPr="00A228FC">
        <w:rPr>
          <w:sz w:val="28"/>
          <w:szCs w:val="28"/>
        </w:rPr>
        <w:t>твержден проект планировки и межевания территории в районе станции «Новолесная» Трусовского района</w:t>
      </w:r>
      <w:r w:rsidR="00F70EE5" w:rsidRPr="00A228FC">
        <w:rPr>
          <w:sz w:val="28"/>
          <w:szCs w:val="28"/>
        </w:rPr>
        <w:t>, в</w:t>
      </w:r>
      <w:r w:rsidR="00B20E5A" w:rsidRPr="00A228FC">
        <w:rPr>
          <w:sz w:val="28"/>
          <w:szCs w:val="28"/>
        </w:rPr>
        <w:t xml:space="preserve"> настоящее время </w:t>
      </w:r>
      <w:r w:rsidRPr="00A228FC">
        <w:rPr>
          <w:sz w:val="28"/>
          <w:szCs w:val="28"/>
        </w:rPr>
        <w:t>вносятся изменения в части целевого использования данной территории для садоводства, с целью проведения работ по постановке земельных участок на государственный кадастровый учет и дальнейшего предоставления.</w:t>
      </w:r>
    </w:p>
    <w:p w:rsidR="005F4C34" w:rsidRPr="00A228FC" w:rsidRDefault="00B20E5A" w:rsidP="005F4C34">
      <w:pPr>
        <w:adjustRightInd w:val="0"/>
        <w:contextualSpacing/>
        <w:jc w:val="both"/>
        <w:rPr>
          <w:sz w:val="28"/>
          <w:szCs w:val="28"/>
        </w:rPr>
      </w:pPr>
      <w:r w:rsidRPr="00A228FC">
        <w:rPr>
          <w:sz w:val="28"/>
          <w:szCs w:val="28"/>
        </w:rPr>
        <w:t xml:space="preserve">     </w:t>
      </w:r>
      <w:r w:rsidR="005F4C34" w:rsidRPr="00A228FC">
        <w:rPr>
          <w:sz w:val="28"/>
          <w:szCs w:val="28"/>
        </w:rPr>
        <w:t>Ввиду дефицита земельных участков, сложившегося на территории города, управлением проводится работа по инвентаризации садоводческих товариществ с целью дальнейшего предоставления земельных участков гражданам льготной категории. Решение вопросов, касающихся передачи земельных участков в собственность МО «Город Астрахань», возможно при наличии письменных отказов владельцев от права собственности  на данный земельный участок.</w:t>
      </w:r>
    </w:p>
    <w:p w:rsidR="00545D24" w:rsidRPr="00A228FC" w:rsidRDefault="009574DD" w:rsidP="00545D24">
      <w:pPr>
        <w:adjustRightInd w:val="0"/>
        <w:contextualSpacing/>
        <w:jc w:val="both"/>
        <w:rPr>
          <w:b/>
          <w:color w:val="000099"/>
          <w:sz w:val="28"/>
          <w:szCs w:val="28"/>
        </w:rPr>
      </w:pPr>
      <w:r>
        <w:rPr>
          <w:b/>
          <w:color w:val="000099"/>
          <w:sz w:val="28"/>
          <w:szCs w:val="28"/>
        </w:rPr>
        <w:t>7</w:t>
      </w:r>
      <w:r w:rsidR="00545D24" w:rsidRPr="00A228FC">
        <w:rPr>
          <w:b/>
          <w:color w:val="000099"/>
          <w:sz w:val="28"/>
          <w:szCs w:val="28"/>
        </w:rPr>
        <w:t>. Изъятие помещений.</w:t>
      </w:r>
    </w:p>
    <w:p w:rsidR="00545D24" w:rsidRPr="00A228FC" w:rsidRDefault="00545D24" w:rsidP="00545D24">
      <w:pPr>
        <w:ind w:firstLine="527"/>
        <w:contextualSpacing/>
        <w:jc w:val="both"/>
        <w:rPr>
          <w:sz w:val="28"/>
          <w:szCs w:val="28"/>
        </w:rPr>
      </w:pPr>
      <w:r w:rsidRPr="00A228FC">
        <w:rPr>
          <w:sz w:val="28"/>
          <w:szCs w:val="28"/>
        </w:rPr>
        <w:t xml:space="preserve">В целях реализации муниципальной программы «Переселение граждан города Астрахани из аварийного жилищного фонда в 2013-2017 годах» за счет средств государственной корпорации, Фонда содействия реформирования ЖКХ проведены следующие мероприятия о признании жилых домов аварийными и подлежащими сносу в порядке ст. 32 Жилищного кодекса РФ: </w:t>
      </w:r>
    </w:p>
    <w:p w:rsidR="00545D24" w:rsidRPr="00A228FC" w:rsidRDefault="00545D24" w:rsidP="00545D24">
      <w:pPr>
        <w:numPr>
          <w:ilvl w:val="0"/>
          <w:numId w:val="39"/>
        </w:numPr>
        <w:ind w:left="284" w:hanging="284"/>
        <w:contextualSpacing/>
        <w:jc w:val="both"/>
        <w:rPr>
          <w:sz w:val="28"/>
          <w:szCs w:val="28"/>
        </w:rPr>
      </w:pPr>
      <w:r w:rsidRPr="00A228FC">
        <w:rPr>
          <w:sz w:val="28"/>
          <w:szCs w:val="28"/>
        </w:rPr>
        <w:t>приняты постановления администрации города об изъятии 111 жилых помещений в 37 домах;</w:t>
      </w:r>
    </w:p>
    <w:p w:rsidR="00545D24" w:rsidRPr="00A228FC" w:rsidRDefault="00545D24" w:rsidP="00545D24">
      <w:pPr>
        <w:numPr>
          <w:ilvl w:val="0"/>
          <w:numId w:val="39"/>
        </w:numPr>
        <w:ind w:left="284" w:hanging="284"/>
        <w:contextualSpacing/>
        <w:jc w:val="both"/>
        <w:rPr>
          <w:sz w:val="28"/>
          <w:szCs w:val="28"/>
        </w:rPr>
      </w:pPr>
      <w:r w:rsidRPr="00A228FC">
        <w:rPr>
          <w:sz w:val="28"/>
          <w:szCs w:val="28"/>
        </w:rPr>
        <w:t>подготовлены проекты постановлений администрации города по изъятию 42 жилых помещений в 13 домах;</w:t>
      </w:r>
    </w:p>
    <w:p w:rsidR="00545D24" w:rsidRPr="00A228FC" w:rsidRDefault="00545D24" w:rsidP="00545D24">
      <w:pPr>
        <w:numPr>
          <w:ilvl w:val="0"/>
          <w:numId w:val="39"/>
        </w:numPr>
        <w:ind w:left="284" w:hanging="284"/>
        <w:contextualSpacing/>
        <w:jc w:val="both"/>
        <w:rPr>
          <w:sz w:val="28"/>
          <w:szCs w:val="28"/>
        </w:rPr>
      </w:pPr>
      <w:r w:rsidRPr="00A228FC">
        <w:rPr>
          <w:sz w:val="28"/>
          <w:szCs w:val="28"/>
        </w:rPr>
        <w:t>проведена оценка 105 помещений в 35 домах;</w:t>
      </w:r>
    </w:p>
    <w:p w:rsidR="00545D24" w:rsidRPr="00A228FC" w:rsidRDefault="00545D24" w:rsidP="00545D24">
      <w:pPr>
        <w:numPr>
          <w:ilvl w:val="0"/>
          <w:numId w:val="39"/>
        </w:numPr>
        <w:ind w:left="284" w:hanging="284"/>
        <w:contextualSpacing/>
        <w:jc w:val="both"/>
        <w:rPr>
          <w:sz w:val="28"/>
          <w:szCs w:val="28"/>
        </w:rPr>
      </w:pPr>
      <w:r w:rsidRPr="00A228FC">
        <w:rPr>
          <w:sz w:val="28"/>
          <w:szCs w:val="28"/>
        </w:rPr>
        <w:t>заключено 2 муниципальных контракта по оценке стоимости 60 жилых помещений;</w:t>
      </w:r>
    </w:p>
    <w:p w:rsidR="00545D24" w:rsidRPr="00A228FC" w:rsidRDefault="00545D24" w:rsidP="00545D24">
      <w:pPr>
        <w:numPr>
          <w:ilvl w:val="0"/>
          <w:numId w:val="39"/>
        </w:numPr>
        <w:ind w:left="284" w:hanging="284"/>
        <w:contextualSpacing/>
        <w:jc w:val="both"/>
        <w:rPr>
          <w:sz w:val="28"/>
          <w:szCs w:val="28"/>
        </w:rPr>
      </w:pPr>
      <w:r w:rsidRPr="00A228FC">
        <w:rPr>
          <w:sz w:val="28"/>
          <w:szCs w:val="28"/>
        </w:rPr>
        <w:t>на оценке 18 помещений в 7 домах.</w:t>
      </w:r>
    </w:p>
    <w:p w:rsidR="00545D24" w:rsidRPr="00A228FC" w:rsidRDefault="00545D24" w:rsidP="00545D24">
      <w:pPr>
        <w:contextualSpacing/>
        <w:jc w:val="both"/>
        <w:rPr>
          <w:sz w:val="28"/>
          <w:szCs w:val="28"/>
        </w:rPr>
      </w:pPr>
      <w:r w:rsidRPr="00A228FC">
        <w:rPr>
          <w:sz w:val="28"/>
          <w:szCs w:val="28"/>
        </w:rPr>
        <w:t xml:space="preserve">    Итого за отчетный период пров</w:t>
      </w:r>
      <w:r w:rsidR="00CF2A6B" w:rsidRPr="00A228FC">
        <w:rPr>
          <w:sz w:val="28"/>
          <w:szCs w:val="28"/>
        </w:rPr>
        <w:t>едены</w:t>
      </w:r>
      <w:r w:rsidRPr="00A228FC">
        <w:rPr>
          <w:sz w:val="28"/>
          <w:szCs w:val="28"/>
        </w:rPr>
        <w:t xml:space="preserve"> мероприятия  по изъятию 153 помещений в 50 домах, признанных аварийными и подлежащими сносу или реконструкции.</w:t>
      </w:r>
    </w:p>
    <w:p w:rsidR="00545D24" w:rsidRPr="00A228FC" w:rsidRDefault="00545D24" w:rsidP="00545D24">
      <w:pPr>
        <w:contextualSpacing/>
        <w:jc w:val="both"/>
        <w:rPr>
          <w:sz w:val="28"/>
          <w:szCs w:val="28"/>
        </w:rPr>
      </w:pPr>
      <w:r w:rsidRPr="00A228FC">
        <w:rPr>
          <w:sz w:val="28"/>
          <w:szCs w:val="28"/>
        </w:rPr>
        <w:t xml:space="preserve">    За счет средств местного бюджета в соответствии со ст.32 Жилищного кодекса РФ приняты постановления об изъятии 172 жилых помещений в 59 домовладениях.</w:t>
      </w:r>
    </w:p>
    <w:p w:rsidR="00545D24" w:rsidRPr="00A228FC" w:rsidRDefault="00545D24" w:rsidP="00545D24">
      <w:pPr>
        <w:contextualSpacing/>
        <w:jc w:val="both"/>
        <w:rPr>
          <w:sz w:val="28"/>
          <w:szCs w:val="28"/>
        </w:rPr>
      </w:pPr>
      <w:r w:rsidRPr="00A228FC">
        <w:rPr>
          <w:sz w:val="28"/>
          <w:szCs w:val="28"/>
        </w:rPr>
        <w:t xml:space="preserve">     В целом за 2014 год приняты постановления администрации города об изъятии для муниципальных нужд долей земельных участков и 283 жилых помещений в 96 домовладениях. </w:t>
      </w:r>
    </w:p>
    <w:p w:rsidR="00F85EBE" w:rsidRDefault="00F85EBE" w:rsidP="00FA3029">
      <w:pPr>
        <w:adjustRightInd w:val="0"/>
        <w:jc w:val="both"/>
        <w:rPr>
          <w:b/>
          <w:color w:val="000080"/>
          <w:sz w:val="28"/>
          <w:szCs w:val="28"/>
        </w:rPr>
      </w:pPr>
    </w:p>
    <w:p w:rsidR="00F85EBE" w:rsidRDefault="00F85EBE" w:rsidP="00FA3029">
      <w:pPr>
        <w:adjustRightInd w:val="0"/>
        <w:jc w:val="both"/>
        <w:rPr>
          <w:b/>
          <w:color w:val="000080"/>
          <w:sz w:val="28"/>
          <w:szCs w:val="28"/>
        </w:rPr>
      </w:pPr>
    </w:p>
    <w:p w:rsidR="00FA3029" w:rsidRPr="00A228FC" w:rsidRDefault="00342963" w:rsidP="00FA3029">
      <w:pPr>
        <w:adjustRightInd w:val="0"/>
        <w:jc w:val="both"/>
        <w:rPr>
          <w:sz w:val="28"/>
          <w:szCs w:val="28"/>
        </w:rPr>
      </w:pPr>
      <w:r w:rsidRPr="00A228FC">
        <w:rPr>
          <w:b/>
          <w:color w:val="000080"/>
          <w:sz w:val="28"/>
          <w:szCs w:val="28"/>
        </w:rPr>
        <w:lastRenderedPageBreak/>
        <w:t>8</w:t>
      </w:r>
      <w:r w:rsidR="00347F58" w:rsidRPr="00A228FC">
        <w:rPr>
          <w:b/>
          <w:color w:val="000080"/>
          <w:sz w:val="28"/>
          <w:szCs w:val="28"/>
        </w:rPr>
        <w:t xml:space="preserve">. </w:t>
      </w:r>
      <w:r w:rsidR="00FA3029" w:rsidRPr="00A228FC">
        <w:rPr>
          <w:b/>
          <w:color w:val="000080"/>
          <w:sz w:val="28"/>
          <w:szCs w:val="28"/>
        </w:rPr>
        <w:t>Аренда муниципального имущества.</w:t>
      </w:r>
    </w:p>
    <w:p w:rsidR="00571C76" w:rsidRPr="00A228FC" w:rsidRDefault="00FA3029" w:rsidP="00571C76">
      <w:pPr>
        <w:contextualSpacing/>
        <w:jc w:val="both"/>
        <w:rPr>
          <w:sz w:val="28"/>
          <w:szCs w:val="28"/>
        </w:rPr>
      </w:pPr>
      <w:r w:rsidRPr="00A228FC">
        <w:rPr>
          <w:sz w:val="28"/>
          <w:szCs w:val="28"/>
        </w:rPr>
        <w:t xml:space="preserve">      </w:t>
      </w:r>
      <w:r w:rsidR="00571C76" w:rsidRPr="00A228FC">
        <w:rPr>
          <w:sz w:val="28"/>
          <w:szCs w:val="28"/>
        </w:rPr>
        <w:t>Спад доходов к уровню прошлого года составил 26%, что объясняется реализацией арендаторами преимущественного права выкупа помещений (закон № 159-ФЗ) и продажей помещений, обремененных договором, на аукционных торгах, в связи с чем, количество арендуемых площадей снизилось на 5 тыс. кв.м., количество договоров аренды - на 44 шт.</w:t>
      </w:r>
    </w:p>
    <w:p w:rsidR="00571C76" w:rsidRPr="00A228FC" w:rsidRDefault="00571C76" w:rsidP="00571C76">
      <w:pPr>
        <w:adjustRightInd w:val="0"/>
        <w:contextualSpacing/>
        <w:jc w:val="both"/>
        <w:rPr>
          <w:sz w:val="28"/>
          <w:szCs w:val="28"/>
        </w:rPr>
      </w:pPr>
      <w:r w:rsidRPr="00A228FC">
        <w:rPr>
          <w:sz w:val="28"/>
          <w:szCs w:val="28"/>
        </w:rPr>
        <w:t xml:space="preserve">    За этот период проведено 20 заседаний комиссии по недоимке, где рассмотрены материалы в отношении 139 арендаторов с суммарным долгом в размере 17 млн.руб., из них в бюджет поступило 1,5 млн.руб. По 67 пакетам документов готовятся исковые заявления о взыскании задолженности, расторжении договора аренды и выселении из занимаемого помещения. </w:t>
      </w:r>
    </w:p>
    <w:p w:rsidR="00FA3029" w:rsidRPr="00A228FC" w:rsidRDefault="00342963" w:rsidP="00FA3029">
      <w:pPr>
        <w:jc w:val="both"/>
        <w:rPr>
          <w:sz w:val="28"/>
          <w:szCs w:val="28"/>
        </w:rPr>
      </w:pPr>
      <w:r w:rsidRPr="00A228FC">
        <w:rPr>
          <w:b/>
          <w:color w:val="000080"/>
          <w:sz w:val="28"/>
          <w:szCs w:val="28"/>
        </w:rPr>
        <w:t>9</w:t>
      </w:r>
      <w:r w:rsidR="00FA3029" w:rsidRPr="00A228FC">
        <w:rPr>
          <w:b/>
          <w:color w:val="000080"/>
          <w:sz w:val="28"/>
          <w:szCs w:val="28"/>
        </w:rPr>
        <w:t>.Продажа права на заключение договоров аренды объектов нежилого муниципального фонда.</w:t>
      </w:r>
    </w:p>
    <w:p w:rsidR="00453ED8" w:rsidRPr="00A228FC" w:rsidRDefault="00FA3029" w:rsidP="00453ED8">
      <w:pPr>
        <w:pStyle w:val="ad"/>
        <w:ind w:firstLine="360"/>
        <w:jc w:val="both"/>
        <w:rPr>
          <w:rFonts w:ascii="Times New Roman" w:eastAsia="MS Mincho" w:hAnsi="Times New Roman" w:cs="Times New Roman"/>
          <w:sz w:val="28"/>
          <w:szCs w:val="28"/>
        </w:rPr>
      </w:pPr>
      <w:r w:rsidRPr="00A228FC">
        <w:rPr>
          <w:rFonts w:ascii="Times New Roman" w:hAnsi="Times New Roman" w:cs="Times New Roman"/>
          <w:sz w:val="28"/>
          <w:szCs w:val="28"/>
        </w:rPr>
        <w:t xml:space="preserve">За отчетный период подготовлено и проведено </w:t>
      </w:r>
      <w:r w:rsidR="000F7711" w:rsidRPr="00A228FC">
        <w:rPr>
          <w:rFonts w:ascii="Times New Roman" w:hAnsi="Times New Roman" w:cs="Times New Roman"/>
          <w:sz w:val="28"/>
          <w:szCs w:val="28"/>
        </w:rPr>
        <w:t>4</w:t>
      </w:r>
      <w:r w:rsidRPr="00A228FC">
        <w:rPr>
          <w:rFonts w:ascii="Times New Roman" w:hAnsi="Times New Roman" w:cs="Times New Roman"/>
          <w:sz w:val="28"/>
          <w:szCs w:val="28"/>
        </w:rPr>
        <w:t xml:space="preserve"> аукцион</w:t>
      </w:r>
      <w:r w:rsidR="000F7711" w:rsidRPr="00A228FC">
        <w:rPr>
          <w:rFonts w:ascii="Times New Roman" w:hAnsi="Times New Roman" w:cs="Times New Roman"/>
          <w:sz w:val="28"/>
          <w:szCs w:val="28"/>
        </w:rPr>
        <w:t>а</w:t>
      </w:r>
      <w:r w:rsidRPr="00A228FC">
        <w:rPr>
          <w:rFonts w:ascii="Times New Roman" w:hAnsi="Times New Roman" w:cs="Times New Roman"/>
          <w:sz w:val="28"/>
          <w:szCs w:val="28"/>
        </w:rPr>
        <w:t>,</w:t>
      </w:r>
      <w:r w:rsidR="000F7711" w:rsidRPr="00A228FC">
        <w:rPr>
          <w:rFonts w:ascii="Times New Roman" w:hAnsi="Times New Roman" w:cs="Times New Roman"/>
          <w:sz w:val="28"/>
          <w:szCs w:val="28"/>
        </w:rPr>
        <w:t xml:space="preserve"> выставлено 26 объектов,</w:t>
      </w:r>
      <w:r w:rsidRPr="00A228FC">
        <w:rPr>
          <w:rFonts w:ascii="Times New Roman" w:hAnsi="Times New Roman" w:cs="Times New Roman"/>
          <w:sz w:val="28"/>
          <w:szCs w:val="28"/>
        </w:rPr>
        <w:t xml:space="preserve"> продано право на </w:t>
      </w:r>
      <w:r w:rsidR="000F7711" w:rsidRPr="00A228FC">
        <w:rPr>
          <w:rFonts w:ascii="Times New Roman" w:hAnsi="Times New Roman" w:cs="Times New Roman"/>
          <w:sz w:val="28"/>
          <w:szCs w:val="28"/>
        </w:rPr>
        <w:t>8</w:t>
      </w:r>
      <w:r w:rsidRPr="00A228FC">
        <w:rPr>
          <w:rFonts w:ascii="Times New Roman" w:hAnsi="Times New Roman" w:cs="Times New Roman"/>
          <w:sz w:val="28"/>
          <w:szCs w:val="28"/>
        </w:rPr>
        <w:t xml:space="preserve"> объектов</w:t>
      </w:r>
      <w:r w:rsidR="000F7711" w:rsidRPr="00A228FC">
        <w:rPr>
          <w:rFonts w:ascii="Times New Roman" w:hAnsi="Times New Roman" w:cs="Times New Roman"/>
          <w:sz w:val="28"/>
          <w:szCs w:val="28"/>
        </w:rPr>
        <w:t xml:space="preserve">. </w:t>
      </w:r>
      <w:r w:rsidR="00453ED8" w:rsidRPr="00A228FC">
        <w:rPr>
          <w:rFonts w:ascii="Times New Roman" w:hAnsi="Times New Roman" w:cs="Times New Roman"/>
          <w:sz w:val="28"/>
          <w:szCs w:val="28"/>
        </w:rPr>
        <w:t>Объявлены торги на 1 квартал 2015г и осуществляются</w:t>
      </w:r>
      <w:r w:rsidR="00453ED8" w:rsidRPr="00A228FC">
        <w:rPr>
          <w:rFonts w:ascii="Times New Roman" w:eastAsia="MS Mincho" w:hAnsi="Times New Roman" w:cs="Times New Roman"/>
          <w:sz w:val="28"/>
          <w:szCs w:val="28"/>
        </w:rPr>
        <w:t xml:space="preserve"> действия по заказу работ по определению рыночной стоимости </w:t>
      </w:r>
      <w:r w:rsidR="00453ED8" w:rsidRPr="00A228FC">
        <w:rPr>
          <w:rFonts w:ascii="Times New Roman" w:hAnsi="Times New Roman" w:cs="Times New Roman"/>
          <w:sz w:val="28"/>
          <w:szCs w:val="28"/>
        </w:rPr>
        <w:t>права заключения договоров аренды</w:t>
      </w:r>
      <w:r w:rsidR="00453ED8" w:rsidRPr="00A228FC">
        <w:rPr>
          <w:rFonts w:ascii="Times New Roman" w:eastAsia="MS Mincho" w:hAnsi="Times New Roman" w:cs="Times New Roman"/>
          <w:sz w:val="28"/>
          <w:szCs w:val="28"/>
        </w:rPr>
        <w:t xml:space="preserve"> для выставления этих объектов на последующие торги.</w:t>
      </w:r>
    </w:p>
    <w:p w:rsidR="00FA3029" w:rsidRPr="00A228FC" w:rsidRDefault="00342963" w:rsidP="00FF15EA">
      <w:pPr>
        <w:jc w:val="both"/>
        <w:rPr>
          <w:sz w:val="28"/>
          <w:szCs w:val="28"/>
        </w:rPr>
      </w:pPr>
      <w:r w:rsidRPr="00A228FC">
        <w:rPr>
          <w:b/>
          <w:color w:val="000080"/>
          <w:sz w:val="28"/>
          <w:szCs w:val="28"/>
        </w:rPr>
        <w:t>10</w:t>
      </w:r>
      <w:r w:rsidR="00FA3029" w:rsidRPr="00A228FC">
        <w:rPr>
          <w:b/>
          <w:color w:val="000080"/>
          <w:sz w:val="28"/>
          <w:szCs w:val="28"/>
        </w:rPr>
        <w:t>. Продажа права на заключение договоров на установку и эксплуатацию рекламных конструкций и аренда рекламных конструкций.</w:t>
      </w:r>
      <w:r w:rsidR="00FA3029" w:rsidRPr="00A228FC">
        <w:rPr>
          <w:b/>
          <w:sz w:val="28"/>
          <w:szCs w:val="28"/>
        </w:rPr>
        <w:t xml:space="preserve"> </w:t>
      </w:r>
    </w:p>
    <w:p w:rsidR="008E7E59" w:rsidRPr="00A228FC" w:rsidRDefault="00FA3029" w:rsidP="008E7E59">
      <w:pPr>
        <w:adjustRightInd w:val="0"/>
        <w:contextualSpacing/>
        <w:jc w:val="both"/>
        <w:rPr>
          <w:noProof/>
          <w:sz w:val="28"/>
          <w:szCs w:val="28"/>
        </w:rPr>
      </w:pPr>
      <w:r w:rsidRPr="00A228FC">
        <w:rPr>
          <w:sz w:val="28"/>
          <w:szCs w:val="28"/>
        </w:rPr>
        <w:t xml:space="preserve">      </w:t>
      </w:r>
      <w:r w:rsidR="008E7E59" w:rsidRPr="00A228FC">
        <w:rPr>
          <w:sz w:val="28"/>
          <w:szCs w:val="28"/>
        </w:rPr>
        <w:t xml:space="preserve">В отчетном периоде заключен договор на изготовление схемы размещения рекламных конструкций на территории города (срок договора истекает 05.02.2015г), </w:t>
      </w:r>
      <w:r w:rsidR="00342963" w:rsidRPr="00A228FC">
        <w:rPr>
          <w:sz w:val="28"/>
          <w:szCs w:val="28"/>
        </w:rPr>
        <w:t>У</w:t>
      </w:r>
      <w:r w:rsidR="008E7E59" w:rsidRPr="00A228FC">
        <w:rPr>
          <w:noProof/>
          <w:sz w:val="28"/>
          <w:szCs w:val="28"/>
        </w:rPr>
        <w:t xml:space="preserve">тверждено Положение о порядке демонтажа самовольно установленных рекламных конструкций, внесены изменения в Административный Регламент администрации г.Астрахани о предоставлении муниципальной услуги «Выдача разрешения на установку рекламной конструкции».      </w:t>
      </w:r>
    </w:p>
    <w:p w:rsidR="008E7E59" w:rsidRPr="00A228FC" w:rsidRDefault="008E7E59" w:rsidP="008E7E59">
      <w:pPr>
        <w:adjustRightInd w:val="0"/>
        <w:jc w:val="both"/>
        <w:rPr>
          <w:sz w:val="28"/>
          <w:szCs w:val="28"/>
        </w:rPr>
      </w:pPr>
      <w:r w:rsidRPr="00A228FC">
        <w:rPr>
          <w:noProof/>
          <w:sz w:val="28"/>
          <w:szCs w:val="28"/>
        </w:rPr>
        <w:t xml:space="preserve">      </w:t>
      </w:r>
      <w:r w:rsidRPr="00A228FC">
        <w:rPr>
          <w:sz w:val="28"/>
          <w:szCs w:val="28"/>
        </w:rPr>
        <w:t xml:space="preserve">В рамках работы  </w:t>
      </w:r>
      <w:r w:rsidRPr="00A228FC">
        <w:rPr>
          <w:noProof/>
          <w:sz w:val="28"/>
          <w:szCs w:val="28"/>
        </w:rPr>
        <w:t xml:space="preserve">комиссии по выявлению самовольно установленных рекламных конструкций выявлена 1 тысяча 386 конструкций. </w:t>
      </w:r>
    </w:p>
    <w:p w:rsidR="007C5C2A" w:rsidRPr="00A228FC" w:rsidRDefault="007C5C2A" w:rsidP="007C5C2A">
      <w:pPr>
        <w:jc w:val="both"/>
        <w:rPr>
          <w:sz w:val="28"/>
          <w:szCs w:val="28"/>
        </w:rPr>
      </w:pPr>
      <w:r w:rsidRPr="00A228FC">
        <w:rPr>
          <w:sz w:val="28"/>
          <w:szCs w:val="28"/>
        </w:rPr>
        <w:t xml:space="preserve">     Приоритетной работой управления является тема социальной рекламы. </w:t>
      </w:r>
      <w:r w:rsidR="00AE03C0" w:rsidRPr="00A228FC">
        <w:rPr>
          <w:sz w:val="28"/>
          <w:szCs w:val="28"/>
        </w:rPr>
        <w:t xml:space="preserve">Донесение до жителей города преимущества здорового образа жизни, информации о событиях культурной жизни, спортивных мероприятиях, совместной деятельности общественных организаций, благотворительных фондов и администрации города способствует установлению тесного контакта между муниципалитетом и горожанами. За этот период </w:t>
      </w:r>
      <w:r w:rsidRPr="00A228FC">
        <w:rPr>
          <w:sz w:val="28"/>
          <w:szCs w:val="28"/>
        </w:rPr>
        <w:t xml:space="preserve">на территории города размещено </w:t>
      </w:r>
      <w:r w:rsidR="00AE03C0" w:rsidRPr="00A228FC">
        <w:rPr>
          <w:sz w:val="28"/>
          <w:szCs w:val="28"/>
        </w:rPr>
        <w:t>338</w:t>
      </w:r>
      <w:r w:rsidRPr="00A228FC">
        <w:rPr>
          <w:sz w:val="28"/>
          <w:szCs w:val="28"/>
        </w:rPr>
        <w:t xml:space="preserve"> тематических баннер</w:t>
      </w:r>
      <w:r w:rsidR="00342963" w:rsidRPr="00A228FC">
        <w:rPr>
          <w:sz w:val="28"/>
          <w:szCs w:val="28"/>
        </w:rPr>
        <w:t>ов</w:t>
      </w:r>
      <w:r w:rsidRPr="00A228FC">
        <w:rPr>
          <w:sz w:val="28"/>
          <w:szCs w:val="28"/>
        </w:rPr>
        <w:t>:</w:t>
      </w:r>
    </w:p>
    <w:p w:rsidR="007C5C2A" w:rsidRPr="00A228FC" w:rsidRDefault="007C5C2A" w:rsidP="007C5C2A">
      <w:pPr>
        <w:numPr>
          <w:ilvl w:val="0"/>
          <w:numId w:val="34"/>
        </w:numPr>
        <w:ind w:left="284" w:hanging="284"/>
        <w:jc w:val="both"/>
        <w:rPr>
          <w:sz w:val="28"/>
          <w:szCs w:val="28"/>
        </w:rPr>
      </w:pPr>
      <w:r w:rsidRPr="00A228FC">
        <w:rPr>
          <w:sz w:val="28"/>
          <w:szCs w:val="28"/>
        </w:rPr>
        <w:t>по профилактике безнадзорности несовершеннолетних;</w:t>
      </w:r>
    </w:p>
    <w:p w:rsidR="007C5C2A" w:rsidRPr="00A228FC" w:rsidRDefault="007C5C2A" w:rsidP="007C5C2A">
      <w:pPr>
        <w:numPr>
          <w:ilvl w:val="0"/>
          <w:numId w:val="34"/>
        </w:numPr>
        <w:ind w:left="284" w:hanging="284"/>
        <w:jc w:val="both"/>
        <w:rPr>
          <w:sz w:val="28"/>
          <w:szCs w:val="28"/>
        </w:rPr>
      </w:pPr>
      <w:r w:rsidRPr="00A228FC">
        <w:rPr>
          <w:sz w:val="28"/>
          <w:szCs w:val="28"/>
        </w:rPr>
        <w:t>пропагандирующие здоровый образ жизни;</w:t>
      </w:r>
    </w:p>
    <w:p w:rsidR="007C5C2A" w:rsidRPr="00A228FC" w:rsidRDefault="007C5C2A" w:rsidP="007C5C2A">
      <w:pPr>
        <w:numPr>
          <w:ilvl w:val="0"/>
          <w:numId w:val="34"/>
        </w:numPr>
        <w:ind w:left="284" w:hanging="284"/>
        <w:jc w:val="both"/>
        <w:rPr>
          <w:sz w:val="28"/>
          <w:szCs w:val="28"/>
        </w:rPr>
      </w:pPr>
      <w:r w:rsidRPr="00A228FC">
        <w:rPr>
          <w:sz w:val="28"/>
          <w:szCs w:val="28"/>
        </w:rPr>
        <w:t>отражающие заботу о подрастающем поколении;</w:t>
      </w:r>
    </w:p>
    <w:p w:rsidR="00FA3029" w:rsidRPr="00A228FC" w:rsidRDefault="007C5C2A" w:rsidP="00FA3029">
      <w:pPr>
        <w:numPr>
          <w:ilvl w:val="0"/>
          <w:numId w:val="34"/>
        </w:numPr>
        <w:adjustRightInd w:val="0"/>
        <w:ind w:left="284" w:hanging="284"/>
        <w:jc w:val="both"/>
        <w:rPr>
          <w:sz w:val="28"/>
          <w:szCs w:val="28"/>
        </w:rPr>
      </w:pPr>
      <w:r w:rsidRPr="00A228FC">
        <w:rPr>
          <w:sz w:val="28"/>
          <w:szCs w:val="28"/>
        </w:rPr>
        <w:t>с информацией о праздничных</w:t>
      </w:r>
      <w:r w:rsidR="00C7457A" w:rsidRPr="00A228FC">
        <w:rPr>
          <w:sz w:val="28"/>
          <w:szCs w:val="28"/>
        </w:rPr>
        <w:t xml:space="preserve">, </w:t>
      </w:r>
      <w:r w:rsidRPr="00A228FC">
        <w:rPr>
          <w:sz w:val="28"/>
          <w:szCs w:val="28"/>
        </w:rPr>
        <w:t>спортивных мероприятиях</w:t>
      </w:r>
      <w:r w:rsidR="00C7457A" w:rsidRPr="00A228FC">
        <w:rPr>
          <w:sz w:val="28"/>
          <w:szCs w:val="28"/>
        </w:rPr>
        <w:t xml:space="preserve"> и</w:t>
      </w:r>
      <w:r w:rsidRPr="00A228FC">
        <w:rPr>
          <w:sz w:val="28"/>
          <w:szCs w:val="28"/>
        </w:rPr>
        <w:t xml:space="preserve"> событиях культурной жизни.</w:t>
      </w:r>
    </w:p>
    <w:p w:rsidR="00EE1C0F" w:rsidRDefault="00342963" w:rsidP="00FA3029">
      <w:pPr>
        <w:adjustRightInd w:val="0"/>
        <w:jc w:val="both"/>
        <w:rPr>
          <w:b/>
          <w:color w:val="000080"/>
          <w:sz w:val="28"/>
          <w:szCs w:val="28"/>
        </w:rPr>
      </w:pPr>
      <w:r>
        <w:rPr>
          <w:b/>
          <w:color w:val="000080"/>
          <w:sz w:val="28"/>
          <w:szCs w:val="28"/>
        </w:rPr>
        <w:t>11</w:t>
      </w:r>
      <w:r w:rsidR="00FA3029">
        <w:rPr>
          <w:b/>
          <w:color w:val="000080"/>
          <w:sz w:val="28"/>
          <w:szCs w:val="28"/>
        </w:rPr>
        <w:t>.</w:t>
      </w:r>
      <w:r w:rsidR="00FA3029" w:rsidRPr="00FA3029">
        <w:rPr>
          <w:b/>
          <w:color w:val="000080"/>
          <w:sz w:val="28"/>
          <w:szCs w:val="28"/>
        </w:rPr>
        <w:t xml:space="preserve">Проведение инвентаризации муниципального имущества для дальнейшего </w:t>
      </w:r>
      <w:r w:rsidR="00EE1C0F" w:rsidRPr="00EE1C0F">
        <w:rPr>
          <w:b/>
          <w:color w:val="000080"/>
          <w:sz w:val="28"/>
          <w:szCs w:val="28"/>
        </w:rPr>
        <w:t>формирования и совершенствования реестра муниципального имущества города Астрахани</w:t>
      </w:r>
      <w:r w:rsidR="00EE1C0F">
        <w:rPr>
          <w:b/>
          <w:color w:val="000080"/>
          <w:sz w:val="28"/>
          <w:szCs w:val="28"/>
        </w:rPr>
        <w:t>.</w:t>
      </w:r>
    </w:p>
    <w:p w:rsidR="004C1530" w:rsidRDefault="00342963" w:rsidP="00342963">
      <w:pPr>
        <w:jc w:val="both"/>
        <w:rPr>
          <w:sz w:val="28"/>
          <w:szCs w:val="28"/>
        </w:rPr>
      </w:pPr>
      <w:r>
        <w:rPr>
          <w:sz w:val="28"/>
          <w:szCs w:val="28"/>
        </w:rPr>
        <w:t xml:space="preserve">      </w:t>
      </w:r>
      <w:r w:rsidR="00CF2A6B">
        <w:rPr>
          <w:sz w:val="28"/>
          <w:szCs w:val="28"/>
        </w:rPr>
        <w:t>Управление</w:t>
      </w:r>
      <w:r>
        <w:rPr>
          <w:sz w:val="28"/>
          <w:szCs w:val="28"/>
        </w:rPr>
        <w:t>м</w:t>
      </w:r>
      <w:r w:rsidR="00CF2A6B">
        <w:rPr>
          <w:sz w:val="28"/>
          <w:szCs w:val="28"/>
        </w:rPr>
        <w:t xml:space="preserve"> осуществляется в</w:t>
      </w:r>
      <w:r w:rsidR="004C1530">
        <w:rPr>
          <w:sz w:val="28"/>
          <w:szCs w:val="28"/>
        </w:rPr>
        <w:t xml:space="preserve">едение реестра муниципального имущества города Астрахани в отношении объектов движимого имущества в соответствии с Приказом Министерства экономического развития Российской Федерации от 30.08.2011  № 424 «Об утверждении порядка ведения органами местного </w:t>
      </w:r>
      <w:r w:rsidR="004C1530">
        <w:rPr>
          <w:sz w:val="28"/>
          <w:szCs w:val="28"/>
        </w:rPr>
        <w:lastRenderedPageBreak/>
        <w:t>самоуправления реестров муниципального имущества». Объектами учета реестра являются: муниципальное имущество, закрепленное на праве хозяйственного ведения или на праве оперативного управления за муниципальными организациями, находящееся в муниципальной собственности, акции (доли, вклады) и иное, находящееся в муниципальной собственности движимое и недвижимое имущество, переданное в пользование или в аренду. В реестр входят следующие разделы:</w:t>
      </w:r>
    </w:p>
    <w:p w:rsidR="004C1530" w:rsidRPr="009755A9" w:rsidRDefault="00F856AB" w:rsidP="009755A9">
      <w:pPr>
        <w:pStyle w:val="af0"/>
        <w:numPr>
          <w:ilvl w:val="0"/>
          <w:numId w:val="35"/>
        </w:numPr>
        <w:ind w:left="284" w:hanging="284"/>
        <w:jc w:val="both"/>
        <w:rPr>
          <w:sz w:val="28"/>
          <w:szCs w:val="28"/>
        </w:rPr>
      </w:pPr>
      <w:r w:rsidRPr="009755A9">
        <w:rPr>
          <w:sz w:val="28"/>
          <w:szCs w:val="28"/>
        </w:rPr>
        <w:t>недвижимое имущество;</w:t>
      </w:r>
    </w:p>
    <w:p w:rsidR="00F856AB" w:rsidRPr="009755A9" w:rsidRDefault="00F856AB" w:rsidP="009755A9">
      <w:pPr>
        <w:pStyle w:val="af0"/>
        <w:numPr>
          <w:ilvl w:val="0"/>
          <w:numId w:val="35"/>
        </w:numPr>
        <w:ind w:left="284" w:hanging="284"/>
        <w:jc w:val="both"/>
        <w:rPr>
          <w:sz w:val="28"/>
          <w:szCs w:val="28"/>
        </w:rPr>
      </w:pPr>
      <w:r w:rsidRPr="009755A9">
        <w:rPr>
          <w:sz w:val="28"/>
          <w:szCs w:val="28"/>
        </w:rPr>
        <w:t>движимое имущество;</w:t>
      </w:r>
    </w:p>
    <w:p w:rsidR="00F856AB" w:rsidRPr="009755A9" w:rsidRDefault="00F856AB" w:rsidP="009755A9">
      <w:pPr>
        <w:pStyle w:val="af0"/>
        <w:numPr>
          <w:ilvl w:val="0"/>
          <w:numId w:val="35"/>
        </w:numPr>
        <w:ind w:left="284" w:hanging="284"/>
        <w:jc w:val="both"/>
        <w:rPr>
          <w:sz w:val="28"/>
          <w:szCs w:val="28"/>
        </w:rPr>
      </w:pPr>
      <w:r w:rsidRPr="009755A9">
        <w:rPr>
          <w:sz w:val="28"/>
          <w:szCs w:val="28"/>
        </w:rPr>
        <w:t>муниципальные предприятия и учреждения;</w:t>
      </w:r>
    </w:p>
    <w:p w:rsidR="00F856AB" w:rsidRPr="009755A9" w:rsidRDefault="00F856AB" w:rsidP="009755A9">
      <w:pPr>
        <w:pStyle w:val="af0"/>
        <w:numPr>
          <w:ilvl w:val="0"/>
          <w:numId w:val="35"/>
        </w:numPr>
        <w:ind w:left="284" w:hanging="284"/>
        <w:jc w:val="both"/>
        <w:rPr>
          <w:sz w:val="28"/>
          <w:szCs w:val="28"/>
        </w:rPr>
      </w:pPr>
      <w:r w:rsidRPr="009755A9">
        <w:rPr>
          <w:sz w:val="28"/>
          <w:szCs w:val="28"/>
        </w:rPr>
        <w:t>земельные участки – управление имеет доступ  в данный раздел, полномочия по работе находятся в управлении земельными ресурсами администрации города;</w:t>
      </w:r>
    </w:p>
    <w:p w:rsidR="00F856AB" w:rsidRPr="009755A9" w:rsidRDefault="00F856AB" w:rsidP="009755A9">
      <w:pPr>
        <w:pStyle w:val="af0"/>
        <w:numPr>
          <w:ilvl w:val="0"/>
          <w:numId w:val="35"/>
        </w:numPr>
        <w:ind w:left="284" w:hanging="284"/>
        <w:jc w:val="both"/>
        <w:rPr>
          <w:sz w:val="28"/>
          <w:szCs w:val="28"/>
        </w:rPr>
      </w:pPr>
      <w:r w:rsidRPr="009755A9">
        <w:rPr>
          <w:sz w:val="28"/>
          <w:szCs w:val="28"/>
        </w:rPr>
        <w:t xml:space="preserve">жилой фонд - управление имеет доступ  в данный раздел, полномочия по работе находятся в жилищном управлении администрации города. </w:t>
      </w:r>
    </w:p>
    <w:p w:rsidR="00EF7C8E" w:rsidRDefault="00EF7C8E" w:rsidP="00EF7C8E">
      <w:pPr>
        <w:ind w:left="284"/>
        <w:jc w:val="both"/>
        <w:rPr>
          <w:sz w:val="28"/>
          <w:szCs w:val="28"/>
        </w:rPr>
      </w:pPr>
    </w:p>
    <w:p w:rsidR="00505891" w:rsidRPr="00A228FC" w:rsidRDefault="00EF7C8E" w:rsidP="00EE1C0F">
      <w:pPr>
        <w:jc w:val="both"/>
        <w:rPr>
          <w:sz w:val="28"/>
          <w:szCs w:val="28"/>
        </w:rPr>
      </w:pPr>
      <w:r>
        <w:rPr>
          <w:sz w:val="28"/>
          <w:szCs w:val="28"/>
        </w:rPr>
        <w:t xml:space="preserve">     </w:t>
      </w:r>
      <w:r w:rsidR="00EE1C0F" w:rsidRPr="00A228FC">
        <w:rPr>
          <w:sz w:val="28"/>
          <w:szCs w:val="28"/>
        </w:rPr>
        <w:t>По состоянию на 01.01.201</w:t>
      </w:r>
      <w:r w:rsidRPr="00A228FC">
        <w:rPr>
          <w:sz w:val="28"/>
          <w:szCs w:val="28"/>
        </w:rPr>
        <w:t>5</w:t>
      </w:r>
      <w:r w:rsidR="00EE1C0F" w:rsidRPr="00A228FC">
        <w:rPr>
          <w:sz w:val="28"/>
          <w:szCs w:val="28"/>
        </w:rPr>
        <w:t xml:space="preserve"> года в реестре числится 2</w:t>
      </w:r>
      <w:r w:rsidR="003A6FAB" w:rsidRPr="00A228FC">
        <w:rPr>
          <w:sz w:val="28"/>
          <w:szCs w:val="28"/>
        </w:rPr>
        <w:t>5</w:t>
      </w:r>
      <w:r w:rsidR="009F44C4" w:rsidRPr="00A228FC">
        <w:rPr>
          <w:sz w:val="28"/>
          <w:szCs w:val="28"/>
        </w:rPr>
        <w:t>0</w:t>
      </w:r>
      <w:r w:rsidR="00EE1C0F" w:rsidRPr="00A228FC">
        <w:rPr>
          <w:sz w:val="28"/>
          <w:szCs w:val="28"/>
        </w:rPr>
        <w:t xml:space="preserve"> муниципальны</w:t>
      </w:r>
      <w:r w:rsidR="009F44C4" w:rsidRPr="00A228FC">
        <w:rPr>
          <w:sz w:val="28"/>
          <w:szCs w:val="28"/>
        </w:rPr>
        <w:t>х</w:t>
      </w:r>
      <w:r w:rsidR="00EE1C0F" w:rsidRPr="00A228FC">
        <w:rPr>
          <w:sz w:val="28"/>
          <w:szCs w:val="28"/>
        </w:rPr>
        <w:t xml:space="preserve"> организаци</w:t>
      </w:r>
      <w:r w:rsidR="009F44C4" w:rsidRPr="00A228FC">
        <w:rPr>
          <w:sz w:val="28"/>
          <w:szCs w:val="28"/>
        </w:rPr>
        <w:t>й</w:t>
      </w:r>
      <w:r w:rsidR="00EE1C0F" w:rsidRPr="00A228FC">
        <w:rPr>
          <w:sz w:val="28"/>
          <w:szCs w:val="28"/>
        </w:rPr>
        <w:t xml:space="preserve"> с находящимся на их балансах имуществом, а так же муниципальное имущество «Казны» в объеме 1</w:t>
      </w:r>
      <w:r w:rsidRPr="00A228FC">
        <w:rPr>
          <w:sz w:val="28"/>
          <w:szCs w:val="28"/>
        </w:rPr>
        <w:t>4 647</w:t>
      </w:r>
      <w:r w:rsidR="00EE1C0F" w:rsidRPr="00A228FC">
        <w:rPr>
          <w:sz w:val="28"/>
          <w:szCs w:val="28"/>
        </w:rPr>
        <w:t xml:space="preserve"> единиц, включающее в себя: квартиры, нежилые здания и помещения, дамбы, мосты, путепроводы, эстакады, а также 75 470 пог.м. ливневой канализации и 2</w:t>
      </w:r>
      <w:r w:rsidR="00BD7385" w:rsidRPr="00A228FC">
        <w:rPr>
          <w:sz w:val="28"/>
          <w:szCs w:val="28"/>
        </w:rPr>
        <w:t>3 176</w:t>
      </w:r>
      <w:r w:rsidR="00EE1C0F" w:rsidRPr="00A228FC">
        <w:rPr>
          <w:sz w:val="28"/>
          <w:szCs w:val="28"/>
        </w:rPr>
        <w:t xml:space="preserve"> метров берегоукреплений</w:t>
      </w:r>
      <w:r w:rsidR="00EE1C0F" w:rsidRPr="00A228FC">
        <w:rPr>
          <w:i/>
          <w:sz w:val="28"/>
          <w:szCs w:val="28"/>
        </w:rPr>
        <w:t>.</w:t>
      </w:r>
      <w:r w:rsidR="003F24B6" w:rsidRPr="00A228FC">
        <w:rPr>
          <w:sz w:val="28"/>
          <w:szCs w:val="28"/>
        </w:rPr>
        <w:t xml:space="preserve">  </w:t>
      </w:r>
    </w:p>
    <w:p w:rsidR="00487B2C" w:rsidRDefault="009F44C4" w:rsidP="00FF26D1">
      <w:pPr>
        <w:contextualSpacing/>
        <w:jc w:val="both"/>
        <w:rPr>
          <w:sz w:val="28"/>
          <w:szCs w:val="28"/>
        </w:rPr>
      </w:pPr>
      <w:r w:rsidRPr="00A228FC">
        <w:rPr>
          <w:sz w:val="28"/>
          <w:szCs w:val="28"/>
        </w:rPr>
        <w:t xml:space="preserve">     </w:t>
      </w:r>
      <w:r w:rsidR="00FF26D1" w:rsidRPr="00A228FC">
        <w:rPr>
          <w:sz w:val="28"/>
          <w:szCs w:val="28"/>
        </w:rPr>
        <w:t>Количественный состав 25</w:t>
      </w:r>
      <w:r w:rsidRPr="00A228FC">
        <w:rPr>
          <w:sz w:val="28"/>
          <w:szCs w:val="28"/>
        </w:rPr>
        <w:t>0</w:t>
      </w:r>
      <w:r w:rsidR="00FF26D1" w:rsidRPr="00A228FC">
        <w:rPr>
          <w:sz w:val="28"/>
          <w:szCs w:val="28"/>
        </w:rPr>
        <w:t xml:space="preserve"> действующих организаций представлен на </w:t>
      </w:r>
      <w:r w:rsidRPr="00A228FC">
        <w:rPr>
          <w:sz w:val="28"/>
          <w:szCs w:val="28"/>
        </w:rPr>
        <w:t xml:space="preserve">диаграмме № 8 </w:t>
      </w:r>
      <w:r w:rsidR="00FF26D1" w:rsidRPr="00A228FC">
        <w:rPr>
          <w:sz w:val="28"/>
          <w:szCs w:val="28"/>
        </w:rPr>
        <w:t>- это 2</w:t>
      </w:r>
      <w:r w:rsidRPr="00A228FC">
        <w:rPr>
          <w:sz w:val="28"/>
          <w:szCs w:val="28"/>
        </w:rPr>
        <w:t>2</w:t>
      </w:r>
      <w:r w:rsidR="00FF26D1" w:rsidRPr="00A228FC">
        <w:rPr>
          <w:sz w:val="28"/>
          <w:szCs w:val="28"/>
        </w:rPr>
        <w:t xml:space="preserve"> муниципальных предприяти</w:t>
      </w:r>
      <w:r w:rsidRPr="00A228FC">
        <w:rPr>
          <w:sz w:val="28"/>
          <w:szCs w:val="28"/>
        </w:rPr>
        <w:t>я (13 действующих, 5 – в ликвидации, 4–в стадии банкротства)</w:t>
      </w:r>
      <w:r w:rsidR="00FF26D1" w:rsidRPr="00A228FC">
        <w:rPr>
          <w:sz w:val="28"/>
          <w:szCs w:val="28"/>
        </w:rPr>
        <w:t>, 20</w:t>
      </w:r>
      <w:r w:rsidRPr="00A228FC">
        <w:rPr>
          <w:sz w:val="28"/>
          <w:szCs w:val="28"/>
        </w:rPr>
        <w:t>3</w:t>
      </w:r>
      <w:r w:rsidR="00FF26D1" w:rsidRPr="00A228FC">
        <w:rPr>
          <w:sz w:val="28"/>
          <w:szCs w:val="28"/>
        </w:rPr>
        <w:t xml:space="preserve"> муниципальны</w:t>
      </w:r>
      <w:r w:rsidRPr="00A228FC">
        <w:rPr>
          <w:sz w:val="28"/>
          <w:szCs w:val="28"/>
        </w:rPr>
        <w:t>е бюджетные</w:t>
      </w:r>
      <w:r w:rsidR="00FF26D1" w:rsidRPr="00A228FC">
        <w:rPr>
          <w:sz w:val="28"/>
          <w:szCs w:val="28"/>
        </w:rPr>
        <w:t xml:space="preserve"> учреждения, 21 структурное подразделение администрации города</w:t>
      </w:r>
      <w:r w:rsidRPr="00A228FC">
        <w:rPr>
          <w:sz w:val="28"/>
          <w:szCs w:val="28"/>
        </w:rPr>
        <w:t xml:space="preserve"> и</w:t>
      </w:r>
      <w:r w:rsidR="00FF26D1" w:rsidRPr="00A228FC">
        <w:rPr>
          <w:sz w:val="28"/>
          <w:szCs w:val="28"/>
        </w:rPr>
        <w:t xml:space="preserve"> 4 органа местного самоуправления. </w:t>
      </w:r>
      <w:r w:rsidR="00EF7C8E" w:rsidRPr="00A228FC">
        <w:rPr>
          <w:sz w:val="28"/>
          <w:szCs w:val="28"/>
        </w:rPr>
        <w:t xml:space="preserve">(Диаграмма № </w:t>
      </w:r>
      <w:r w:rsidR="00C83552">
        <w:rPr>
          <w:sz w:val="28"/>
          <w:szCs w:val="28"/>
        </w:rPr>
        <w:t>10</w:t>
      </w:r>
      <w:r w:rsidR="00EF7C8E" w:rsidRPr="00A228FC">
        <w:rPr>
          <w:sz w:val="28"/>
          <w:szCs w:val="28"/>
        </w:rPr>
        <w:t>).</w:t>
      </w:r>
      <w:r w:rsidR="00FF26D1">
        <w:rPr>
          <w:sz w:val="28"/>
          <w:szCs w:val="28"/>
        </w:rPr>
        <w:t xml:space="preserve">                                                                           </w:t>
      </w:r>
      <w:r w:rsidR="00EF7C8E">
        <w:rPr>
          <w:sz w:val="28"/>
          <w:szCs w:val="28"/>
        </w:rPr>
        <w:t xml:space="preserve">                                                                            </w:t>
      </w:r>
      <w:r w:rsidR="00FF26D1">
        <w:rPr>
          <w:sz w:val="28"/>
          <w:szCs w:val="28"/>
        </w:rPr>
        <w:t xml:space="preserve"> </w:t>
      </w:r>
      <w:r w:rsidR="00487B2C">
        <w:rPr>
          <w:sz w:val="28"/>
          <w:szCs w:val="28"/>
        </w:rPr>
        <w:t xml:space="preserve">       </w:t>
      </w:r>
    </w:p>
    <w:p w:rsidR="00FF26D1" w:rsidRDefault="00487B2C" w:rsidP="00FF26D1">
      <w:pPr>
        <w:contextualSpacing/>
        <w:jc w:val="both"/>
        <w:rPr>
          <w:sz w:val="28"/>
          <w:szCs w:val="28"/>
        </w:rPr>
      </w:pPr>
      <w:r>
        <w:rPr>
          <w:sz w:val="28"/>
          <w:szCs w:val="28"/>
        </w:rPr>
        <w:t xml:space="preserve">                                                                               </w:t>
      </w:r>
      <w:r w:rsidR="00FF26D1">
        <w:rPr>
          <w:sz w:val="28"/>
          <w:szCs w:val="28"/>
        </w:rPr>
        <w:t xml:space="preserve">Диаграмма № </w:t>
      </w:r>
      <w:r w:rsidR="00C83552">
        <w:rPr>
          <w:sz w:val="28"/>
          <w:szCs w:val="28"/>
        </w:rPr>
        <w:t>10</w:t>
      </w:r>
      <w:r w:rsidR="00FF26D1">
        <w:rPr>
          <w:sz w:val="28"/>
          <w:szCs w:val="28"/>
        </w:rPr>
        <w:t xml:space="preserve">  </w:t>
      </w:r>
    </w:p>
    <w:p w:rsidR="00FF26D1" w:rsidRDefault="00FF26D1" w:rsidP="00FF26D1">
      <w:pPr>
        <w:jc w:val="both"/>
        <w:rPr>
          <w:sz w:val="28"/>
          <w:szCs w:val="28"/>
        </w:rPr>
      </w:pPr>
      <w:r>
        <w:rPr>
          <w:sz w:val="28"/>
          <w:szCs w:val="28"/>
        </w:rPr>
        <w:t xml:space="preserve">                        </w:t>
      </w:r>
      <w:r w:rsidR="00CE17A8" w:rsidRPr="00CE17A8">
        <w:rPr>
          <w:noProof/>
          <w:sz w:val="28"/>
          <w:szCs w:val="28"/>
        </w:rPr>
        <w:drawing>
          <wp:inline distT="0" distB="0" distL="0" distR="0">
            <wp:extent cx="4257675" cy="3190875"/>
            <wp:effectExtent l="38100" t="19050" r="9525" b="0"/>
            <wp:docPr id="8"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Pr>
          <w:sz w:val="28"/>
          <w:szCs w:val="28"/>
        </w:rPr>
        <w:t xml:space="preserve"> </w:t>
      </w:r>
    </w:p>
    <w:p w:rsidR="003F24B6" w:rsidRDefault="00505891" w:rsidP="00EE1C0F">
      <w:pPr>
        <w:jc w:val="both"/>
        <w:rPr>
          <w:sz w:val="28"/>
          <w:szCs w:val="28"/>
        </w:rPr>
      </w:pPr>
      <w:r>
        <w:rPr>
          <w:sz w:val="28"/>
          <w:szCs w:val="28"/>
        </w:rPr>
        <w:t xml:space="preserve">      </w:t>
      </w:r>
      <w:r w:rsidR="003F24B6">
        <w:rPr>
          <w:sz w:val="28"/>
          <w:szCs w:val="28"/>
        </w:rPr>
        <w:t xml:space="preserve">               </w:t>
      </w:r>
      <w:r w:rsidR="00B82208">
        <w:rPr>
          <w:sz w:val="28"/>
          <w:szCs w:val="28"/>
        </w:rPr>
        <w:t xml:space="preserve">     </w:t>
      </w:r>
      <w:r w:rsidR="003F24B6">
        <w:rPr>
          <w:sz w:val="28"/>
          <w:szCs w:val="28"/>
        </w:rPr>
        <w:t xml:space="preserve">  </w:t>
      </w:r>
    </w:p>
    <w:p w:rsidR="007F4D9C" w:rsidRDefault="00342963" w:rsidP="007F4D9C">
      <w:pPr>
        <w:jc w:val="both"/>
        <w:rPr>
          <w:sz w:val="28"/>
          <w:szCs w:val="28"/>
        </w:rPr>
      </w:pPr>
      <w:r>
        <w:rPr>
          <w:b/>
          <w:color w:val="000080"/>
          <w:sz w:val="28"/>
          <w:szCs w:val="28"/>
        </w:rPr>
        <w:t>12</w:t>
      </w:r>
      <w:r w:rsidR="00FF26D1">
        <w:rPr>
          <w:b/>
          <w:color w:val="000080"/>
          <w:sz w:val="28"/>
          <w:szCs w:val="28"/>
        </w:rPr>
        <w:t>.Работа с корреспонденцией</w:t>
      </w:r>
    </w:p>
    <w:p w:rsidR="00F85EBE" w:rsidRDefault="00505891" w:rsidP="00505891">
      <w:pPr>
        <w:ind w:firstLine="550"/>
        <w:jc w:val="both"/>
        <w:rPr>
          <w:sz w:val="28"/>
          <w:szCs w:val="28"/>
        </w:rPr>
      </w:pPr>
      <w:r w:rsidRPr="00A228FC">
        <w:rPr>
          <w:sz w:val="28"/>
          <w:szCs w:val="28"/>
        </w:rPr>
        <w:t>С начала 2014 года управлением обработано 64 тыс. штук входящей документации</w:t>
      </w:r>
      <w:r w:rsidR="00487B2C">
        <w:rPr>
          <w:sz w:val="28"/>
          <w:szCs w:val="28"/>
        </w:rPr>
        <w:t xml:space="preserve"> и 73 тыс.</w:t>
      </w:r>
      <w:r w:rsidR="00F85EBE">
        <w:rPr>
          <w:sz w:val="28"/>
          <w:szCs w:val="28"/>
        </w:rPr>
        <w:t xml:space="preserve"> </w:t>
      </w:r>
      <w:r w:rsidR="00487B2C">
        <w:rPr>
          <w:sz w:val="28"/>
          <w:szCs w:val="28"/>
        </w:rPr>
        <w:t>штук исходящей документации</w:t>
      </w:r>
      <w:r w:rsidRPr="00A228FC">
        <w:rPr>
          <w:sz w:val="28"/>
          <w:szCs w:val="28"/>
        </w:rPr>
        <w:t xml:space="preserve">. По многоквартирным домам в системе «Одно окно» принято 277 заявлений. Принято 95 постановлений </w:t>
      </w:r>
      <w:r w:rsidRPr="00A228FC">
        <w:rPr>
          <w:sz w:val="28"/>
          <w:szCs w:val="28"/>
        </w:rPr>
        <w:lastRenderedPageBreak/>
        <w:t>администрации города Астрахани о формировании земельных участков или утверждении существующих границ для эксплуатации многоквартирных домов.</w:t>
      </w:r>
      <w:r w:rsidRPr="00A228FC">
        <w:rPr>
          <w:sz w:val="24"/>
          <w:szCs w:val="24"/>
        </w:rPr>
        <w:t xml:space="preserve"> </w:t>
      </w:r>
      <w:r w:rsidRPr="00A228FC">
        <w:rPr>
          <w:sz w:val="28"/>
          <w:szCs w:val="28"/>
        </w:rPr>
        <w:t xml:space="preserve">Объемы входящей и исходящей корреспонденции постоянно увеличиваются. </w:t>
      </w:r>
      <w:r w:rsidR="00F85EBE">
        <w:rPr>
          <w:sz w:val="28"/>
          <w:szCs w:val="28"/>
        </w:rPr>
        <w:t xml:space="preserve"> </w:t>
      </w:r>
    </w:p>
    <w:p w:rsidR="00505891" w:rsidRDefault="00F85EBE" w:rsidP="00505891">
      <w:pPr>
        <w:ind w:firstLine="550"/>
        <w:jc w:val="both"/>
        <w:rPr>
          <w:sz w:val="28"/>
          <w:szCs w:val="28"/>
        </w:rPr>
      </w:pPr>
      <w:r>
        <w:rPr>
          <w:sz w:val="28"/>
          <w:szCs w:val="28"/>
        </w:rPr>
        <w:t xml:space="preserve"> </w:t>
      </w:r>
      <w:r w:rsidR="00505891" w:rsidRPr="00A228FC">
        <w:rPr>
          <w:sz w:val="28"/>
          <w:szCs w:val="28"/>
        </w:rPr>
        <w:t>Динамика роста входящей и исходящей корреспонденции представлена на диаграммах</w:t>
      </w:r>
      <w:r w:rsidR="00EF7C8E" w:rsidRPr="00A228FC">
        <w:rPr>
          <w:sz w:val="28"/>
          <w:szCs w:val="28"/>
        </w:rPr>
        <w:t xml:space="preserve"> № </w:t>
      </w:r>
      <w:r>
        <w:rPr>
          <w:sz w:val="28"/>
          <w:szCs w:val="28"/>
        </w:rPr>
        <w:t>11</w:t>
      </w:r>
      <w:r w:rsidR="00EF7C8E" w:rsidRPr="00A228FC">
        <w:rPr>
          <w:sz w:val="28"/>
          <w:szCs w:val="28"/>
        </w:rPr>
        <w:t xml:space="preserve"> и № 1</w:t>
      </w:r>
      <w:r>
        <w:rPr>
          <w:sz w:val="28"/>
          <w:szCs w:val="28"/>
        </w:rPr>
        <w:t>2</w:t>
      </w:r>
      <w:r w:rsidR="00EF7C8E" w:rsidRPr="00A228FC">
        <w:rPr>
          <w:sz w:val="28"/>
          <w:szCs w:val="28"/>
        </w:rPr>
        <w:t>.</w:t>
      </w:r>
    </w:p>
    <w:p w:rsidR="00505891" w:rsidRDefault="00505891" w:rsidP="00505891">
      <w:pPr>
        <w:pStyle w:val="af0"/>
        <w:adjustRightInd w:val="0"/>
        <w:ind w:left="0"/>
        <w:jc w:val="both"/>
        <w:rPr>
          <w:sz w:val="28"/>
          <w:szCs w:val="28"/>
        </w:rPr>
      </w:pPr>
    </w:p>
    <w:p w:rsidR="00C74A62" w:rsidRDefault="00505891" w:rsidP="00C74A62">
      <w:pPr>
        <w:pStyle w:val="af0"/>
        <w:adjustRightInd w:val="0"/>
        <w:ind w:left="0"/>
        <w:rPr>
          <w:sz w:val="28"/>
          <w:szCs w:val="28"/>
        </w:rPr>
      </w:pPr>
      <w:r>
        <w:rPr>
          <w:sz w:val="28"/>
          <w:szCs w:val="28"/>
        </w:rPr>
        <w:t xml:space="preserve">        </w:t>
      </w:r>
      <w:r w:rsidR="00894885">
        <w:rPr>
          <w:sz w:val="28"/>
          <w:szCs w:val="28"/>
        </w:rPr>
        <w:t xml:space="preserve">                          Д</w:t>
      </w:r>
      <w:r>
        <w:rPr>
          <w:sz w:val="28"/>
          <w:szCs w:val="28"/>
        </w:rPr>
        <w:t>иаграмма</w:t>
      </w:r>
      <w:r w:rsidR="00C74A62">
        <w:rPr>
          <w:sz w:val="28"/>
          <w:szCs w:val="28"/>
        </w:rPr>
        <w:t xml:space="preserve"> №</w:t>
      </w:r>
      <w:r w:rsidR="003C1F8D">
        <w:rPr>
          <w:sz w:val="28"/>
          <w:szCs w:val="28"/>
        </w:rPr>
        <w:t xml:space="preserve"> </w:t>
      </w:r>
      <w:r w:rsidR="00F85EBE">
        <w:rPr>
          <w:sz w:val="28"/>
          <w:szCs w:val="28"/>
        </w:rPr>
        <w:t>11</w:t>
      </w:r>
      <w:r w:rsidR="00894885" w:rsidRPr="00894885">
        <w:rPr>
          <w:sz w:val="28"/>
          <w:szCs w:val="28"/>
        </w:rPr>
        <w:t xml:space="preserve"> </w:t>
      </w:r>
      <w:r w:rsidR="00894885">
        <w:rPr>
          <w:sz w:val="28"/>
          <w:szCs w:val="28"/>
        </w:rPr>
        <w:t xml:space="preserve">                                            Диаграмма № </w:t>
      </w:r>
      <w:r w:rsidR="003C1F8D">
        <w:rPr>
          <w:sz w:val="28"/>
          <w:szCs w:val="28"/>
        </w:rPr>
        <w:t>1</w:t>
      </w:r>
      <w:r w:rsidR="00F85EBE">
        <w:rPr>
          <w:sz w:val="28"/>
          <w:szCs w:val="28"/>
        </w:rPr>
        <w:t>2</w:t>
      </w:r>
    </w:p>
    <w:p w:rsidR="00894885" w:rsidRDefault="00C74A62" w:rsidP="00C74A62">
      <w:pPr>
        <w:pStyle w:val="af0"/>
        <w:adjustRightInd w:val="0"/>
        <w:ind w:left="0"/>
        <w:rPr>
          <w:sz w:val="28"/>
          <w:szCs w:val="28"/>
        </w:rPr>
      </w:pPr>
      <w:r w:rsidRPr="00C74A62">
        <w:rPr>
          <w:noProof/>
          <w:sz w:val="28"/>
          <w:szCs w:val="28"/>
        </w:rPr>
        <w:drawing>
          <wp:inline distT="0" distB="0" distL="0" distR="0">
            <wp:extent cx="2838450" cy="2295525"/>
            <wp:effectExtent l="19050" t="0" r="1905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sidR="00894885">
        <w:rPr>
          <w:sz w:val="28"/>
          <w:szCs w:val="28"/>
        </w:rPr>
        <w:t xml:space="preserve">         </w:t>
      </w:r>
      <w:r w:rsidR="00894885" w:rsidRPr="00894885">
        <w:rPr>
          <w:noProof/>
          <w:sz w:val="28"/>
          <w:szCs w:val="28"/>
        </w:rPr>
        <w:drawing>
          <wp:inline distT="0" distB="0" distL="0" distR="0">
            <wp:extent cx="2819400" cy="2247900"/>
            <wp:effectExtent l="19050" t="0" r="19050" b="0"/>
            <wp:docPr id="6"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894885" w:rsidRDefault="00894885" w:rsidP="00C74A62">
      <w:pPr>
        <w:pStyle w:val="af0"/>
        <w:adjustRightInd w:val="0"/>
        <w:ind w:left="0"/>
        <w:rPr>
          <w:sz w:val="28"/>
          <w:szCs w:val="28"/>
        </w:rPr>
      </w:pPr>
    </w:p>
    <w:p w:rsidR="00937B18" w:rsidRPr="00CA4EC8" w:rsidRDefault="00937B18" w:rsidP="003D1885">
      <w:pPr>
        <w:pStyle w:val="af0"/>
        <w:adjustRightInd w:val="0"/>
        <w:ind w:left="0"/>
        <w:jc w:val="center"/>
        <w:rPr>
          <w:b/>
          <w:color w:val="A50021"/>
          <w:sz w:val="26"/>
          <w:szCs w:val="26"/>
          <w:u w:val="single"/>
        </w:rPr>
      </w:pPr>
      <w:r w:rsidRPr="00CA4EC8">
        <w:rPr>
          <w:b/>
          <w:color w:val="A50021"/>
          <w:sz w:val="26"/>
          <w:szCs w:val="26"/>
          <w:u w:val="single"/>
        </w:rPr>
        <w:t>АКТУАЛЬНЫЕ ПЕРСПЕКТИВЫ</w:t>
      </w:r>
    </w:p>
    <w:p w:rsidR="00937B18" w:rsidRPr="00CA4EC8" w:rsidRDefault="00937B18" w:rsidP="00CA4EC8">
      <w:pPr>
        <w:adjustRightInd w:val="0"/>
        <w:ind w:left="720" w:hanging="578"/>
        <w:contextualSpacing/>
        <w:jc w:val="center"/>
        <w:rPr>
          <w:b/>
          <w:color w:val="A50021"/>
          <w:sz w:val="26"/>
          <w:szCs w:val="26"/>
          <w:u w:val="single"/>
        </w:rPr>
      </w:pPr>
      <w:r w:rsidRPr="00CA4EC8">
        <w:rPr>
          <w:b/>
          <w:color w:val="A50021"/>
          <w:sz w:val="26"/>
          <w:szCs w:val="26"/>
          <w:u w:val="single"/>
        </w:rPr>
        <w:t>В РАБОТЕ УПРАВЛЕНИЯ НА 201</w:t>
      </w:r>
      <w:r w:rsidR="009E214B">
        <w:rPr>
          <w:b/>
          <w:color w:val="A50021"/>
          <w:sz w:val="26"/>
          <w:szCs w:val="26"/>
          <w:u w:val="single"/>
        </w:rPr>
        <w:t>5</w:t>
      </w:r>
      <w:r w:rsidRPr="00CA4EC8">
        <w:rPr>
          <w:b/>
          <w:color w:val="A50021"/>
          <w:sz w:val="26"/>
          <w:szCs w:val="26"/>
          <w:u w:val="single"/>
        </w:rPr>
        <w:t xml:space="preserve"> ГОД</w:t>
      </w:r>
    </w:p>
    <w:p w:rsidR="00937B18" w:rsidRPr="00CA4EC8" w:rsidRDefault="00937B18" w:rsidP="00CA4EC8">
      <w:pPr>
        <w:adjustRightInd w:val="0"/>
        <w:ind w:left="720" w:hanging="578"/>
        <w:contextualSpacing/>
        <w:jc w:val="center"/>
        <w:rPr>
          <w:b/>
          <w:color w:val="A50021"/>
          <w:sz w:val="26"/>
          <w:szCs w:val="26"/>
          <w:u w:val="single"/>
        </w:rPr>
      </w:pPr>
    </w:p>
    <w:p w:rsidR="00937B18" w:rsidRDefault="00937B18" w:rsidP="00937B18">
      <w:pPr>
        <w:jc w:val="both"/>
        <w:rPr>
          <w:sz w:val="28"/>
          <w:szCs w:val="28"/>
        </w:rPr>
      </w:pPr>
      <w:r>
        <w:rPr>
          <w:sz w:val="28"/>
          <w:szCs w:val="28"/>
        </w:rPr>
        <w:t xml:space="preserve">     </w:t>
      </w:r>
      <w:r w:rsidRPr="009227FB">
        <w:rPr>
          <w:sz w:val="28"/>
          <w:szCs w:val="28"/>
        </w:rPr>
        <w:t xml:space="preserve"> </w:t>
      </w:r>
      <w:r w:rsidR="0021374E">
        <w:rPr>
          <w:sz w:val="28"/>
          <w:szCs w:val="28"/>
        </w:rPr>
        <w:t xml:space="preserve">  </w:t>
      </w:r>
      <w:r w:rsidRPr="009227FB">
        <w:rPr>
          <w:sz w:val="28"/>
          <w:szCs w:val="28"/>
        </w:rPr>
        <w:t>В 201</w:t>
      </w:r>
      <w:r w:rsidR="00FF26D1">
        <w:rPr>
          <w:sz w:val="28"/>
          <w:szCs w:val="28"/>
        </w:rPr>
        <w:t>5</w:t>
      </w:r>
      <w:r w:rsidRPr="009227FB">
        <w:rPr>
          <w:sz w:val="28"/>
          <w:szCs w:val="28"/>
        </w:rPr>
        <w:t xml:space="preserve"> год</w:t>
      </w:r>
      <w:r>
        <w:rPr>
          <w:sz w:val="28"/>
          <w:szCs w:val="28"/>
        </w:rPr>
        <w:t>у</w:t>
      </w:r>
      <w:r w:rsidRPr="009227FB">
        <w:rPr>
          <w:sz w:val="28"/>
          <w:szCs w:val="28"/>
        </w:rPr>
        <w:t xml:space="preserve"> предполагается</w:t>
      </w:r>
      <w:r>
        <w:rPr>
          <w:sz w:val="28"/>
          <w:szCs w:val="28"/>
        </w:rPr>
        <w:t xml:space="preserve"> проведение следующей работы:</w:t>
      </w:r>
    </w:p>
    <w:p w:rsidR="00DB562F" w:rsidRPr="00EC060A" w:rsidRDefault="00DB562F" w:rsidP="00DB562F">
      <w:pPr>
        <w:numPr>
          <w:ilvl w:val="0"/>
          <w:numId w:val="29"/>
        </w:numPr>
        <w:tabs>
          <w:tab w:val="clear" w:pos="720"/>
          <w:tab w:val="num" w:pos="284"/>
        </w:tabs>
        <w:autoSpaceDE/>
        <w:autoSpaceDN/>
        <w:ind w:left="284" w:hanging="284"/>
        <w:jc w:val="both"/>
        <w:rPr>
          <w:sz w:val="28"/>
          <w:szCs w:val="28"/>
        </w:rPr>
      </w:pPr>
      <w:r w:rsidRPr="00EC060A">
        <w:rPr>
          <w:sz w:val="28"/>
          <w:szCs w:val="28"/>
        </w:rPr>
        <w:t>поэтапная приватизация и реализация муниципального имущества в соответствии с законом № 159-ФЗ;</w:t>
      </w:r>
    </w:p>
    <w:p w:rsidR="00DB562F" w:rsidRPr="00EC060A" w:rsidRDefault="00DB562F" w:rsidP="00DB562F">
      <w:pPr>
        <w:numPr>
          <w:ilvl w:val="0"/>
          <w:numId w:val="29"/>
        </w:numPr>
        <w:tabs>
          <w:tab w:val="clear" w:pos="720"/>
          <w:tab w:val="num" w:pos="284"/>
        </w:tabs>
        <w:autoSpaceDE/>
        <w:autoSpaceDN/>
        <w:ind w:left="284" w:hanging="284"/>
        <w:jc w:val="both"/>
        <w:rPr>
          <w:sz w:val="28"/>
          <w:szCs w:val="28"/>
        </w:rPr>
      </w:pPr>
      <w:r w:rsidRPr="00EC060A">
        <w:rPr>
          <w:sz w:val="28"/>
          <w:szCs w:val="28"/>
        </w:rPr>
        <w:t>продажа права на заключение договоров на установку и эксплуатацию рекламной конструкции;</w:t>
      </w:r>
    </w:p>
    <w:p w:rsidR="00DB562F" w:rsidRPr="00EC060A" w:rsidRDefault="00DB562F" w:rsidP="00DB562F">
      <w:pPr>
        <w:numPr>
          <w:ilvl w:val="0"/>
          <w:numId w:val="29"/>
        </w:numPr>
        <w:tabs>
          <w:tab w:val="clear" w:pos="720"/>
          <w:tab w:val="num" w:pos="284"/>
        </w:tabs>
        <w:autoSpaceDE/>
        <w:autoSpaceDN/>
        <w:ind w:left="284" w:hanging="284"/>
        <w:jc w:val="both"/>
        <w:rPr>
          <w:sz w:val="28"/>
          <w:szCs w:val="28"/>
        </w:rPr>
      </w:pPr>
      <w:r w:rsidRPr="00EC060A">
        <w:rPr>
          <w:sz w:val="28"/>
          <w:szCs w:val="28"/>
        </w:rPr>
        <w:t>изъятие нежилых помещений и земельных участков для муниципальных нужд;</w:t>
      </w:r>
    </w:p>
    <w:p w:rsidR="00DB562F" w:rsidRPr="00EC060A" w:rsidRDefault="00DB562F" w:rsidP="00DB562F">
      <w:pPr>
        <w:numPr>
          <w:ilvl w:val="0"/>
          <w:numId w:val="29"/>
        </w:numPr>
        <w:tabs>
          <w:tab w:val="clear" w:pos="720"/>
          <w:tab w:val="num" w:pos="284"/>
        </w:tabs>
        <w:autoSpaceDE/>
        <w:autoSpaceDN/>
        <w:ind w:left="284" w:hanging="284"/>
        <w:jc w:val="both"/>
        <w:rPr>
          <w:sz w:val="28"/>
          <w:szCs w:val="28"/>
        </w:rPr>
      </w:pPr>
      <w:r w:rsidRPr="00EC060A">
        <w:rPr>
          <w:sz w:val="28"/>
          <w:szCs w:val="28"/>
        </w:rPr>
        <w:t>дальнейшее формирование, ведение и совершенствование реестра муниципального имущества города Астрахани;</w:t>
      </w:r>
    </w:p>
    <w:p w:rsidR="00DB562F" w:rsidRPr="00EC060A" w:rsidRDefault="00DB562F" w:rsidP="00DB562F">
      <w:pPr>
        <w:numPr>
          <w:ilvl w:val="0"/>
          <w:numId w:val="29"/>
        </w:numPr>
        <w:tabs>
          <w:tab w:val="clear" w:pos="720"/>
          <w:tab w:val="num" w:pos="284"/>
        </w:tabs>
        <w:autoSpaceDE/>
        <w:autoSpaceDN/>
        <w:ind w:left="284" w:hanging="284"/>
        <w:jc w:val="both"/>
        <w:rPr>
          <w:sz w:val="28"/>
          <w:szCs w:val="28"/>
        </w:rPr>
      </w:pPr>
      <w:r w:rsidRPr="00EC060A">
        <w:rPr>
          <w:sz w:val="28"/>
          <w:szCs w:val="28"/>
        </w:rPr>
        <w:t>оформление имущественных отношений с муниципальными организациями и бесхозяйных коммунальных объектов;</w:t>
      </w:r>
    </w:p>
    <w:p w:rsidR="00DB562F" w:rsidRPr="00EC060A" w:rsidRDefault="00DB562F" w:rsidP="00DB562F">
      <w:pPr>
        <w:numPr>
          <w:ilvl w:val="0"/>
          <w:numId w:val="29"/>
        </w:numPr>
        <w:tabs>
          <w:tab w:val="clear" w:pos="720"/>
          <w:tab w:val="num" w:pos="284"/>
        </w:tabs>
        <w:autoSpaceDE/>
        <w:autoSpaceDN/>
        <w:ind w:left="284" w:hanging="284"/>
        <w:jc w:val="both"/>
        <w:rPr>
          <w:sz w:val="28"/>
          <w:szCs w:val="28"/>
        </w:rPr>
      </w:pPr>
      <w:r w:rsidRPr="00EC060A">
        <w:rPr>
          <w:sz w:val="28"/>
          <w:szCs w:val="28"/>
        </w:rPr>
        <w:t>обеспечение максимального количества граждан, обладающих льготами, земельными участками для индивидуального жилищного строительства и садоводства;</w:t>
      </w:r>
    </w:p>
    <w:p w:rsidR="00DB562F" w:rsidRPr="00EC060A" w:rsidRDefault="00DB562F" w:rsidP="00DB562F">
      <w:pPr>
        <w:numPr>
          <w:ilvl w:val="0"/>
          <w:numId w:val="29"/>
        </w:numPr>
        <w:tabs>
          <w:tab w:val="clear" w:pos="720"/>
          <w:tab w:val="num" w:pos="284"/>
        </w:tabs>
        <w:autoSpaceDE/>
        <w:autoSpaceDN/>
        <w:ind w:left="284" w:hanging="284"/>
        <w:jc w:val="both"/>
        <w:rPr>
          <w:sz w:val="28"/>
          <w:szCs w:val="28"/>
        </w:rPr>
      </w:pPr>
      <w:r w:rsidRPr="00EC060A">
        <w:rPr>
          <w:sz w:val="28"/>
          <w:szCs w:val="28"/>
        </w:rPr>
        <w:t>осуществление государственного кадастрового учета для эксплуатации многоквартирных домов (ст. 16 закона № 189-ФЗ от 29.12.2004);</w:t>
      </w:r>
    </w:p>
    <w:p w:rsidR="00DB562F" w:rsidRPr="00EC060A" w:rsidRDefault="00DB562F" w:rsidP="00DB562F">
      <w:pPr>
        <w:numPr>
          <w:ilvl w:val="0"/>
          <w:numId w:val="29"/>
        </w:numPr>
        <w:tabs>
          <w:tab w:val="clear" w:pos="720"/>
          <w:tab w:val="num" w:pos="284"/>
        </w:tabs>
        <w:autoSpaceDE/>
        <w:autoSpaceDN/>
        <w:ind w:left="284" w:hanging="284"/>
        <w:jc w:val="both"/>
        <w:rPr>
          <w:sz w:val="28"/>
          <w:szCs w:val="28"/>
        </w:rPr>
      </w:pPr>
      <w:r w:rsidRPr="00EC060A">
        <w:rPr>
          <w:sz w:val="28"/>
          <w:szCs w:val="28"/>
        </w:rPr>
        <w:t>завершение работы по оформлению документов землепользования на земельные участки для эксплуатации объектов недвижимого имущества и продолжение работы с МУПами по предоставлению на праве аренды земельных участков;</w:t>
      </w:r>
    </w:p>
    <w:p w:rsidR="00DB562F" w:rsidRDefault="00DB562F" w:rsidP="00DB562F">
      <w:pPr>
        <w:numPr>
          <w:ilvl w:val="0"/>
          <w:numId w:val="29"/>
        </w:numPr>
        <w:tabs>
          <w:tab w:val="clear" w:pos="720"/>
          <w:tab w:val="num" w:pos="284"/>
        </w:tabs>
        <w:autoSpaceDE/>
        <w:autoSpaceDN/>
        <w:ind w:left="284" w:hanging="284"/>
        <w:jc w:val="both"/>
        <w:rPr>
          <w:sz w:val="28"/>
          <w:szCs w:val="28"/>
        </w:rPr>
      </w:pPr>
      <w:r w:rsidRPr="00EC060A">
        <w:rPr>
          <w:sz w:val="28"/>
          <w:szCs w:val="28"/>
        </w:rPr>
        <w:t>проведение работ по изъятию помещений в домах, признанных аварийными и подлежащими сносу, и переселению граждан из аварийного жилищного фонда</w:t>
      </w:r>
      <w:r w:rsidR="00CE5D1E">
        <w:rPr>
          <w:sz w:val="28"/>
          <w:szCs w:val="28"/>
        </w:rPr>
        <w:t>;</w:t>
      </w:r>
    </w:p>
    <w:p w:rsidR="00CE5D1E" w:rsidRPr="00EC060A" w:rsidRDefault="00CE5D1E" w:rsidP="00DB562F">
      <w:pPr>
        <w:numPr>
          <w:ilvl w:val="0"/>
          <w:numId w:val="29"/>
        </w:numPr>
        <w:tabs>
          <w:tab w:val="clear" w:pos="720"/>
          <w:tab w:val="num" w:pos="284"/>
        </w:tabs>
        <w:autoSpaceDE/>
        <w:autoSpaceDN/>
        <w:ind w:left="284" w:hanging="284"/>
        <w:jc w:val="both"/>
        <w:rPr>
          <w:sz w:val="28"/>
          <w:szCs w:val="28"/>
        </w:rPr>
      </w:pPr>
      <w:r>
        <w:rPr>
          <w:sz w:val="28"/>
          <w:szCs w:val="28"/>
        </w:rPr>
        <w:t>работа по увеличению доходов по видам деятельности.</w:t>
      </w:r>
    </w:p>
    <w:p w:rsidR="00DB562F" w:rsidRPr="005A5CE2" w:rsidRDefault="00DB562F" w:rsidP="00DB562F">
      <w:pPr>
        <w:autoSpaceDE/>
        <w:autoSpaceDN/>
        <w:ind w:left="284"/>
        <w:jc w:val="both"/>
        <w:rPr>
          <w:sz w:val="28"/>
          <w:szCs w:val="28"/>
        </w:rPr>
      </w:pPr>
    </w:p>
    <w:p w:rsidR="00DB562F" w:rsidRPr="00A54A83" w:rsidRDefault="00DB562F" w:rsidP="00DB562F">
      <w:pPr>
        <w:widowControl w:val="0"/>
        <w:adjustRightInd w:val="0"/>
        <w:contextualSpacing/>
        <w:jc w:val="both"/>
        <w:rPr>
          <w:sz w:val="16"/>
          <w:szCs w:val="16"/>
        </w:rPr>
      </w:pPr>
      <w:r>
        <w:rPr>
          <w:sz w:val="28"/>
          <w:szCs w:val="28"/>
        </w:rPr>
        <w:t xml:space="preserve">    Первоначальный прогноз на 2015 год утвержден в сумме 889 млн.руб.</w:t>
      </w:r>
    </w:p>
    <w:p w:rsidR="00BF0E0D" w:rsidRDefault="00BF0E0D" w:rsidP="00BF0E0D">
      <w:pPr>
        <w:autoSpaceDE/>
        <w:autoSpaceDN/>
        <w:ind w:left="284"/>
        <w:contextualSpacing/>
        <w:jc w:val="both"/>
        <w:rPr>
          <w:sz w:val="28"/>
          <w:szCs w:val="28"/>
        </w:rPr>
      </w:pPr>
    </w:p>
    <w:sectPr w:rsidR="00BF0E0D" w:rsidSect="003D1885">
      <w:footerReference w:type="default" r:id="rId21"/>
      <w:pgSz w:w="11906" w:h="16838" w:code="9"/>
      <w:pgMar w:top="426" w:right="566" w:bottom="142" w:left="567" w:header="709" w:footer="709" w:gutter="851"/>
      <w:cols w:space="7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0316" w:rsidRDefault="00D90316">
      <w:r>
        <w:separator/>
      </w:r>
    </w:p>
  </w:endnote>
  <w:endnote w:type="continuationSeparator" w:id="0">
    <w:p w:rsidR="00D90316" w:rsidRDefault="00D903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37A5" w:rsidRDefault="004B37A5">
    <w:pPr>
      <w:pStyle w:val="a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0316" w:rsidRDefault="00D90316">
      <w:r>
        <w:separator/>
      </w:r>
    </w:p>
  </w:footnote>
  <w:footnote w:type="continuationSeparator" w:id="0">
    <w:p w:rsidR="00D90316" w:rsidRDefault="00D903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10AD0"/>
    <w:multiLevelType w:val="hybridMultilevel"/>
    <w:tmpl w:val="7452DBD6"/>
    <w:lvl w:ilvl="0" w:tplc="2AC07738">
      <w:start w:val="1"/>
      <w:numFmt w:val="bullet"/>
      <w:lvlText w:val=""/>
      <w:lvlJc w:val="left"/>
      <w:pPr>
        <w:tabs>
          <w:tab w:val="num" w:pos="720"/>
        </w:tabs>
        <w:ind w:left="720" w:hanging="360"/>
      </w:pPr>
      <w:rPr>
        <w:rFonts w:ascii="Wingdings" w:hAnsi="Wingdings" w:hint="default"/>
        <w:sz w:val="24"/>
        <w:szCs w:val="24"/>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38D5887"/>
    <w:multiLevelType w:val="multilevel"/>
    <w:tmpl w:val="4BDC9CC4"/>
    <w:lvl w:ilvl="0">
      <w:start w:val="1"/>
      <w:numFmt w:val="decimal"/>
      <w:lvlText w:val="%1."/>
      <w:lvlJc w:val="left"/>
      <w:pPr>
        <w:tabs>
          <w:tab w:val="num" w:pos="502"/>
        </w:tabs>
        <w:ind w:left="502" w:hanging="360"/>
      </w:pPr>
      <w:rPr>
        <w:rFonts w:hint="default"/>
      </w:rPr>
    </w:lvl>
    <w:lvl w:ilvl="1">
      <w:start w:val="1"/>
      <w:numFmt w:val="lowerLetter"/>
      <w:lvlText w:val="%2."/>
      <w:lvlJc w:val="left"/>
      <w:pPr>
        <w:tabs>
          <w:tab w:val="num" w:pos="1222"/>
        </w:tabs>
        <w:ind w:left="1222" w:hanging="360"/>
      </w:pPr>
    </w:lvl>
    <w:lvl w:ilvl="2">
      <w:start w:val="1"/>
      <w:numFmt w:val="lowerRoman"/>
      <w:lvlText w:val="%3."/>
      <w:lvlJc w:val="right"/>
      <w:pPr>
        <w:tabs>
          <w:tab w:val="num" w:pos="1942"/>
        </w:tabs>
        <w:ind w:left="1942" w:hanging="180"/>
      </w:pPr>
    </w:lvl>
    <w:lvl w:ilvl="3">
      <w:start w:val="1"/>
      <w:numFmt w:val="decimal"/>
      <w:lvlText w:val="%4."/>
      <w:lvlJc w:val="left"/>
      <w:pPr>
        <w:tabs>
          <w:tab w:val="num" w:pos="2662"/>
        </w:tabs>
        <w:ind w:left="2662" w:hanging="360"/>
      </w:pPr>
    </w:lvl>
    <w:lvl w:ilvl="4">
      <w:start w:val="1"/>
      <w:numFmt w:val="lowerLetter"/>
      <w:lvlText w:val="%5."/>
      <w:lvlJc w:val="left"/>
      <w:pPr>
        <w:tabs>
          <w:tab w:val="num" w:pos="3382"/>
        </w:tabs>
        <w:ind w:left="3382" w:hanging="360"/>
      </w:pPr>
    </w:lvl>
    <w:lvl w:ilvl="5">
      <w:start w:val="1"/>
      <w:numFmt w:val="lowerRoman"/>
      <w:lvlText w:val="%6."/>
      <w:lvlJc w:val="right"/>
      <w:pPr>
        <w:tabs>
          <w:tab w:val="num" w:pos="4102"/>
        </w:tabs>
        <w:ind w:left="4102" w:hanging="180"/>
      </w:pPr>
    </w:lvl>
    <w:lvl w:ilvl="6">
      <w:start w:val="1"/>
      <w:numFmt w:val="decimal"/>
      <w:lvlText w:val="%7."/>
      <w:lvlJc w:val="left"/>
      <w:pPr>
        <w:tabs>
          <w:tab w:val="num" w:pos="4822"/>
        </w:tabs>
        <w:ind w:left="4822" w:hanging="360"/>
      </w:pPr>
    </w:lvl>
    <w:lvl w:ilvl="7">
      <w:start w:val="1"/>
      <w:numFmt w:val="lowerLetter"/>
      <w:lvlText w:val="%8."/>
      <w:lvlJc w:val="left"/>
      <w:pPr>
        <w:tabs>
          <w:tab w:val="num" w:pos="5542"/>
        </w:tabs>
        <w:ind w:left="5542" w:hanging="360"/>
      </w:pPr>
    </w:lvl>
    <w:lvl w:ilvl="8">
      <w:start w:val="1"/>
      <w:numFmt w:val="lowerRoman"/>
      <w:lvlText w:val="%9."/>
      <w:lvlJc w:val="right"/>
      <w:pPr>
        <w:tabs>
          <w:tab w:val="num" w:pos="6262"/>
        </w:tabs>
        <w:ind w:left="6262" w:hanging="180"/>
      </w:pPr>
    </w:lvl>
  </w:abstractNum>
  <w:abstractNum w:abstractNumId="2">
    <w:nsid w:val="06D559E0"/>
    <w:multiLevelType w:val="hybridMultilevel"/>
    <w:tmpl w:val="A0CA163E"/>
    <w:lvl w:ilvl="0" w:tplc="C8D2C9CA">
      <w:start w:val="1"/>
      <w:numFmt w:val="bullet"/>
      <w:lvlText w:val=""/>
      <w:lvlJc w:val="left"/>
      <w:pPr>
        <w:ind w:left="720" w:hanging="360"/>
      </w:pPr>
      <w:rPr>
        <w:rFonts w:ascii="Wingdings" w:hAnsi="Wingdings" w:hint="default"/>
        <w:sz w:val="22"/>
        <w:szCs w:val="22"/>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5E4F64"/>
    <w:multiLevelType w:val="multilevel"/>
    <w:tmpl w:val="C38EBA20"/>
    <w:lvl w:ilvl="0">
      <w:start w:val="1"/>
      <w:numFmt w:val="bullet"/>
      <w:lvlText w:val=""/>
      <w:lvlJc w:val="left"/>
      <w:pPr>
        <w:tabs>
          <w:tab w:val="num" w:pos="720"/>
        </w:tabs>
        <w:ind w:left="720" w:hanging="360"/>
      </w:pPr>
      <w:rPr>
        <w:rFonts w:ascii="Wingdings" w:hAnsi="Wingdings" w:hint="default"/>
        <w:b/>
        <w:i w:val="0"/>
        <w:color w:val="auto"/>
        <w:sz w:val="24"/>
        <w:szCs w:val="24"/>
        <w14:shadow w14:blurRad="0" w14:dist="0" w14:dir="0" w14:sx="0" w14:sy="0" w14:kx="0" w14:ky="0" w14:algn="none">
          <w14:srgbClr w14:val="000000"/>
        </w14:shadow>
        <w14:textOutline w14:w="0" w14:cap="rnd" w14:cmpd="sng" w14:algn="ctr">
          <w14:noFill/>
          <w14:prstDash w14:val="solid"/>
          <w14:bevel/>
        </w14:textOutline>
        <w14:textFill>
          <w14:noFill/>
        </w14:textFill>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D9121CE"/>
    <w:multiLevelType w:val="multilevel"/>
    <w:tmpl w:val="CFF201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124B7865"/>
    <w:multiLevelType w:val="hybridMultilevel"/>
    <w:tmpl w:val="662ACB1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37179CB"/>
    <w:multiLevelType w:val="hybridMultilevel"/>
    <w:tmpl w:val="87F659F8"/>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4DF74EC"/>
    <w:multiLevelType w:val="hybridMultilevel"/>
    <w:tmpl w:val="F2BCAB96"/>
    <w:lvl w:ilvl="0" w:tplc="43E40BF6">
      <w:start w:val="2"/>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648749C"/>
    <w:multiLevelType w:val="hybridMultilevel"/>
    <w:tmpl w:val="80188A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64C201F"/>
    <w:multiLevelType w:val="multilevel"/>
    <w:tmpl w:val="34E80F24"/>
    <w:lvl w:ilvl="0">
      <w:start w:val="1"/>
      <w:numFmt w:val="decimal"/>
      <w:lvlText w:val="%1."/>
      <w:lvlJc w:val="left"/>
      <w:pPr>
        <w:ind w:left="502" w:hanging="360"/>
      </w:pPr>
      <w:rPr>
        <w:rFonts w:hint="default"/>
      </w:rPr>
    </w:lvl>
    <w:lvl w:ilvl="1">
      <w:start w:val="3"/>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nsid w:val="16980995"/>
    <w:multiLevelType w:val="hybridMultilevel"/>
    <w:tmpl w:val="3356D8A8"/>
    <w:lvl w:ilvl="0" w:tplc="551A1AD6">
      <w:start w:val="1"/>
      <w:numFmt w:val="decimal"/>
      <w:lvlText w:val="%1."/>
      <w:lvlJc w:val="left"/>
      <w:pPr>
        <w:tabs>
          <w:tab w:val="num" w:pos="1800"/>
        </w:tabs>
        <w:ind w:left="1800" w:hanging="360"/>
      </w:pPr>
      <w:rPr>
        <w:rFonts w:ascii="Times New Roman" w:hAnsi="Times New Roman" w:hint="default"/>
        <w:b w:val="0"/>
        <w:i w:val="0"/>
        <w:caps w:val="0"/>
        <w:strike w:val="0"/>
        <w:dstrike w:val="0"/>
        <w:vanish w:val="0"/>
        <w:sz w:val="22"/>
        <w:szCs w:val="22"/>
        <w:vertAlign w:val="baseline"/>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000000"/>
          </w14:solidFill>
        </w14:textFill>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6B72EE2"/>
    <w:multiLevelType w:val="hybridMultilevel"/>
    <w:tmpl w:val="9D5E89A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B937D74"/>
    <w:multiLevelType w:val="hybridMultilevel"/>
    <w:tmpl w:val="1C7402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C9F4937"/>
    <w:multiLevelType w:val="hybridMultilevel"/>
    <w:tmpl w:val="1E2E0C14"/>
    <w:lvl w:ilvl="0" w:tplc="CE5AD406">
      <w:start w:val="1"/>
      <w:numFmt w:val="bullet"/>
      <w:lvlText w:val=""/>
      <w:lvlJc w:val="left"/>
      <w:pPr>
        <w:tabs>
          <w:tab w:val="num" w:pos="720"/>
        </w:tabs>
        <w:ind w:left="720" w:hanging="360"/>
      </w:pPr>
      <w:rPr>
        <w:rFonts w:ascii="Wingdings" w:hAnsi="Wingdings"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1DBB4313"/>
    <w:multiLevelType w:val="hybridMultilevel"/>
    <w:tmpl w:val="CDA01CC8"/>
    <w:lvl w:ilvl="0" w:tplc="7638E2F4">
      <w:start w:val="1"/>
      <w:numFmt w:val="bullet"/>
      <w:lvlText w:val=""/>
      <w:lvlJc w:val="left"/>
      <w:pPr>
        <w:tabs>
          <w:tab w:val="num" w:pos="720"/>
        </w:tabs>
        <w:ind w:left="720" w:hanging="360"/>
      </w:pPr>
      <w:rPr>
        <w:rFonts w:ascii="Wingdings" w:hAnsi="Wingdings" w:hint="default"/>
        <w:b/>
        <w:i w:val="0"/>
        <w:color w:val="auto"/>
        <w:sz w:val="24"/>
        <w:szCs w:val="24"/>
        <w14:shadow w14:blurRad="0" w14:dist="0" w14:dir="0" w14:sx="0" w14:sy="0" w14:kx="0" w14:ky="0" w14:algn="none">
          <w14:srgbClr w14:val="000000"/>
        </w14:shadow>
        <w14:textOutline w14:w="0" w14:cap="rnd" w14:cmpd="sng" w14:algn="ctr">
          <w14:noFill/>
          <w14:prstDash w14:val="solid"/>
          <w14:bevel/>
        </w14:textOutline>
        <w14:textFill>
          <w14:noFill/>
        </w14:textFill>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11C6CA5"/>
    <w:multiLevelType w:val="hybridMultilevel"/>
    <w:tmpl w:val="1B7CE8EE"/>
    <w:lvl w:ilvl="0" w:tplc="9800DAF8">
      <w:start w:val="1"/>
      <w:numFmt w:val="bullet"/>
      <w:lvlText w:val=""/>
      <w:lvlJc w:val="left"/>
      <w:pPr>
        <w:ind w:left="720" w:hanging="360"/>
      </w:pPr>
      <w:rPr>
        <w:rFonts w:ascii="Wingdings" w:hAnsi="Wingdings" w:hint="default"/>
        <w:sz w:val="20"/>
        <w:szCs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13644F6"/>
    <w:multiLevelType w:val="hybridMultilevel"/>
    <w:tmpl w:val="9F2CE1AE"/>
    <w:lvl w:ilvl="0" w:tplc="8BDAC150">
      <w:start w:val="1"/>
      <w:numFmt w:val="decimal"/>
      <w:lvlText w:val="%1."/>
      <w:lvlJc w:val="left"/>
      <w:pPr>
        <w:tabs>
          <w:tab w:val="num" w:pos="1494"/>
        </w:tabs>
        <w:ind w:left="1494" w:hanging="360"/>
      </w:pPr>
      <w:rPr>
        <w:rFonts w:hint="default"/>
      </w:rPr>
    </w:lvl>
    <w:lvl w:ilvl="1" w:tplc="04190019">
      <w:start w:val="1"/>
      <w:numFmt w:val="lowerLetter"/>
      <w:lvlText w:val="%2."/>
      <w:lvlJc w:val="left"/>
      <w:pPr>
        <w:tabs>
          <w:tab w:val="num" w:pos="2214"/>
        </w:tabs>
        <w:ind w:left="2214" w:hanging="360"/>
      </w:pPr>
    </w:lvl>
    <w:lvl w:ilvl="2" w:tplc="0419001B">
      <w:start w:val="1"/>
      <w:numFmt w:val="lowerRoman"/>
      <w:lvlText w:val="%3."/>
      <w:lvlJc w:val="right"/>
      <w:pPr>
        <w:tabs>
          <w:tab w:val="num" w:pos="2934"/>
        </w:tabs>
        <w:ind w:left="2934" w:hanging="180"/>
      </w:pPr>
    </w:lvl>
    <w:lvl w:ilvl="3" w:tplc="0419000F">
      <w:start w:val="1"/>
      <w:numFmt w:val="decimal"/>
      <w:lvlText w:val="%4."/>
      <w:lvlJc w:val="left"/>
      <w:pPr>
        <w:tabs>
          <w:tab w:val="num" w:pos="3654"/>
        </w:tabs>
        <w:ind w:left="3654" w:hanging="360"/>
      </w:pPr>
    </w:lvl>
    <w:lvl w:ilvl="4" w:tplc="04190019">
      <w:start w:val="1"/>
      <w:numFmt w:val="lowerLetter"/>
      <w:lvlText w:val="%5."/>
      <w:lvlJc w:val="left"/>
      <w:pPr>
        <w:tabs>
          <w:tab w:val="num" w:pos="4374"/>
        </w:tabs>
        <w:ind w:left="4374" w:hanging="360"/>
      </w:pPr>
    </w:lvl>
    <w:lvl w:ilvl="5" w:tplc="0419001B">
      <w:start w:val="1"/>
      <w:numFmt w:val="lowerRoman"/>
      <w:lvlText w:val="%6."/>
      <w:lvlJc w:val="right"/>
      <w:pPr>
        <w:tabs>
          <w:tab w:val="num" w:pos="5094"/>
        </w:tabs>
        <w:ind w:left="5094" w:hanging="180"/>
      </w:pPr>
    </w:lvl>
    <w:lvl w:ilvl="6" w:tplc="0419000F">
      <w:start w:val="1"/>
      <w:numFmt w:val="decimal"/>
      <w:lvlText w:val="%7."/>
      <w:lvlJc w:val="left"/>
      <w:pPr>
        <w:tabs>
          <w:tab w:val="num" w:pos="5814"/>
        </w:tabs>
        <w:ind w:left="5814" w:hanging="360"/>
      </w:pPr>
    </w:lvl>
    <w:lvl w:ilvl="7" w:tplc="04190019">
      <w:start w:val="1"/>
      <w:numFmt w:val="lowerLetter"/>
      <w:lvlText w:val="%8."/>
      <w:lvlJc w:val="left"/>
      <w:pPr>
        <w:tabs>
          <w:tab w:val="num" w:pos="6534"/>
        </w:tabs>
        <w:ind w:left="6534" w:hanging="360"/>
      </w:pPr>
    </w:lvl>
    <w:lvl w:ilvl="8" w:tplc="0419001B">
      <w:start w:val="1"/>
      <w:numFmt w:val="lowerRoman"/>
      <w:lvlText w:val="%9."/>
      <w:lvlJc w:val="right"/>
      <w:pPr>
        <w:tabs>
          <w:tab w:val="num" w:pos="7254"/>
        </w:tabs>
        <w:ind w:left="7254" w:hanging="180"/>
      </w:pPr>
    </w:lvl>
  </w:abstractNum>
  <w:abstractNum w:abstractNumId="17">
    <w:nsid w:val="22653CED"/>
    <w:multiLevelType w:val="hybridMultilevel"/>
    <w:tmpl w:val="06E82F9E"/>
    <w:lvl w:ilvl="0" w:tplc="18BC5962">
      <w:start w:val="1"/>
      <w:numFmt w:val="decimal"/>
      <w:lvlText w:val="%1."/>
      <w:lvlJc w:val="left"/>
      <w:pPr>
        <w:ind w:left="72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5D505EB"/>
    <w:multiLevelType w:val="hybridMultilevel"/>
    <w:tmpl w:val="6C9640B4"/>
    <w:lvl w:ilvl="0" w:tplc="3DEE5E42">
      <w:start w:val="5"/>
      <w:numFmt w:val="decimal"/>
      <w:lvlText w:val="%1."/>
      <w:lvlJc w:val="left"/>
      <w:pPr>
        <w:ind w:left="720" w:hanging="360"/>
      </w:pPr>
      <w:rPr>
        <w:rFonts w:hint="default"/>
        <w:b/>
        <w:color w:val="00008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9BA018C"/>
    <w:multiLevelType w:val="hybridMultilevel"/>
    <w:tmpl w:val="4F283DE8"/>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1151FA0"/>
    <w:multiLevelType w:val="hybridMultilevel"/>
    <w:tmpl w:val="E28EE184"/>
    <w:lvl w:ilvl="0" w:tplc="31BC40A8">
      <w:start w:val="1"/>
      <w:numFmt w:val="decimal"/>
      <w:lvlText w:val="%1."/>
      <w:lvlJc w:val="left"/>
      <w:pPr>
        <w:tabs>
          <w:tab w:val="num" w:pos="1636"/>
        </w:tabs>
        <w:ind w:left="1636" w:hanging="360"/>
      </w:pPr>
      <w:rPr>
        <w:rFonts w:hint="default"/>
      </w:rPr>
    </w:lvl>
    <w:lvl w:ilvl="1" w:tplc="04190019">
      <w:start w:val="1"/>
      <w:numFmt w:val="lowerLetter"/>
      <w:lvlText w:val="%2."/>
      <w:lvlJc w:val="left"/>
      <w:pPr>
        <w:tabs>
          <w:tab w:val="num" w:pos="2356"/>
        </w:tabs>
        <w:ind w:left="2356" w:hanging="360"/>
      </w:pPr>
    </w:lvl>
    <w:lvl w:ilvl="2" w:tplc="0419001B">
      <w:start w:val="1"/>
      <w:numFmt w:val="lowerRoman"/>
      <w:lvlText w:val="%3."/>
      <w:lvlJc w:val="right"/>
      <w:pPr>
        <w:tabs>
          <w:tab w:val="num" w:pos="3076"/>
        </w:tabs>
        <w:ind w:left="3076" w:hanging="180"/>
      </w:pPr>
    </w:lvl>
    <w:lvl w:ilvl="3" w:tplc="0419000F">
      <w:start w:val="1"/>
      <w:numFmt w:val="decimal"/>
      <w:lvlText w:val="%4."/>
      <w:lvlJc w:val="left"/>
      <w:pPr>
        <w:tabs>
          <w:tab w:val="num" w:pos="3796"/>
        </w:tabs>
        <w:ind w:left="3796" w:hanging="360"/>
      </w:pPr>
    </w:lvl>
    <w:lvl w:ilvl="4" w:tplc="04190019">
      <w:start w:val="1"/>
      <w:numFmt w:val="lowerLetter"/>
      <w:lvlText w:val="%5."/>
      <w:lvlJc w:val="left"/>
      <w:pPr>
        <w:tabs>
          <w:tab w:val="num" w:pos="4516"/>
        </w:tabs>
        <w:ind w:left="4516" w:hanging="360"/>
      </w:pPr>
    </w:lvl>
    <w:lvl w:ilvl="5" w:tplc="0419001B">
      <w:start w:val="1"/>
      <w:numFmt w:val="lowerRoman"/>
      <w:lvlText w:val="%6."/>
      <w:lvlJc w:val="right"/>
      <w:pPr>
        <w:tabs>
          <w:tab w:val="num" w:pos="5236"/>
        </w:tabs>
        <w:ind w:left="5236" w:hanging="180"/>
      </w:pPr>
    </w:lvl>
    <w:lvl w:ilvl="6" w:tplc="0419000F">
      <w:start w:val="1"/>
      <w:numFmt w:val="decimal"/>
      <w:lvlText w:val="%7."/>
      <w:lvlJc w:val="left"/>
      <w:pPr>
        <w:tabs>
          <w:tab w:val="num" w:pos="5956"/>
        </w:tabs>
        <w:ind w:left="5956" w:hanging="360"/>
      </w:pPr>
    </w:lvl>
    <w:lvl w:ilvl="7" w:tplc="04190019">
      <w:start w:val="1"/>
      <w:numFmt w:val="lowerLetter"/>
      <w:lvlText w:val="%8."/>
      <w:lvlJc w:val="left"/>
      <w:pPr>
        <w:tabs>
          <w:tab w:val="num" w:pos="6676"/>
        </w:tabs>
        <w:ind w:left="6676" w:hanging="360"/>
      </w:pPr>
    </w:lvl>
    <w:lvl w:ilvl="8" w:tplc="0419001B">
      <w:start w:val="1"/>
      <w:numFmt w:val="lowerRoman"/>
      <w:lvlText w:val="%9."/>
      <w:lvlJc w:val="right"/>
      <w:pPr>
        <w:tabs>
          <w:tab w:val="num" w:pos="7396"/>
        </w:tabs>
        <w:ind w:left="7396" w:hanging="180"/>
      </w:pPr>
    </w:lvl>
  </w:abstractNum>
  <w:abstractNum w:abstractNumId="21">
    <w:nsid w:val="35BC24D7"/>
    <w:multiLevelType w:val="hybridMultilevel"/>
    <w:tmpl w:val="FEF0DB8C"/>
    <w:lvl w:ilvl="0" w:tplc="7638E2F4">
      <w:start w:val="1"/>
      <w:numFmt w:val="bullet"/>
      <w:lvlText w:val=""/>
      <w:lvlJc w:val="left"/>
      <w:pPr>
        <w:tabs>
          <w:tab w:val="num" w:pos="720"/>
        </w:tabs>
        <w:ind w:left="720" w:hanging="360"/>
      </w:pPr>
      <w:rPr>
        <w:rFonts w:ascii="Wingdings" w:hAnsi="Wingdings" w:hint="default"/>
        <w:b/>
        <w:i w:val="0"/>
        <w:color w:val="auto"/>
        <w:sz w:val="24"/>
        <w:szCs w:val="24"/>
        <w14:shadow w14:blurRad="0" w14:dist="0" w14:dir="0" w14:sx="0" w14:sy="0" w14:kx="0" w14:ky="0" w14:algn="none">
          <w14:srgbClr w14:val="000000"/>
        </w14:shadow>
        <w14:textOutline w14:w="0" w14:cap="rnd" w14:cmpd="sng" w14:algn="ctr">
          <w14:noFill/>
          <w14:prstDash w14:val="solid"/>
          <w14:bevel/>
        </w14:textOutline>
        <w14:textFill>
          <w14:noFill/>
        </w14:textFill>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37EA5B56"/>
    <w:multiLevelType w:val="hybridMultilevel"/>
    <w:tmpl w:val="4BDC9CC4"/>
    <w:lvl w:ilvl="0" w:tplc="80E07B58">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3">
    <w:nsid w:val="413715BA"/>
    <w:multiLevelType w:val="hybridMultilevel"/>
    <w:tmpl w:val="65CCD11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9F576F7"/>
    <w:multiLevelType w:val="hybridMultilevel"/>
    <w:tmpl w:val="44EC8C14"/>
    <w:lvl w:ilvl="0" w:tplc="D3F63D62">
      <w:numFmt w:val="bullet"/>
      <w:lvlText w:val="-"/>
      <w:lvlJc w:val="left"/>
      <w:pPr>
        <w:tabs>
          <w:tab w:val="num" w:pos="1636"/>
        </w:tabs>
        <w:ind w:left="1636" w:hanging="360"/>
      </w:pPr>
      <w:rPr>
        <w:rFonts w:ascii="Times New Roman" w:eastAsia="Times New Roman" w:hAnsi="Times New Roman" w:cs="Times New Roman" w:hint="default"/>
      </w:rPr>
    </w:lvl>
    <w:lvl w:ilvl="1" w:tplc="04190003" w:tentative="1">
      <w:start w:val="1"/>
      <w:numFmt w:val="bullet"/>
      <w:lvlText w:val="o"/>
      <w:lvlJc w:val="left"/>
      <w:pPr>
        <w:tabs>
          <w:tab w:val="num" w:pos="2356"/>
        </w:tabs>
        <w:ind w:left="2356" w:hanging="360"/>
      </w:pPr>
      <w:rPr>
        <w:rFonts w:ascii="Courier New" w:hAnsi="Courier New" w:hint="default"/>
      </w:rPr>
    </w:lvl>
    <w:lvl w:ilvl="2" w:tplc="04190005" w:tentative="1">
      <w:start w:val="1"/>
      <w:numFmt w:val="bullet"/>
      <w:lvlText w:val=""/>
      <w:lvlJc w:val="left"/>
      <w:pPr>
        <w:tabs>
          <w:tab w:val="num" w:pos="3076"/>
        </w:tabs>
        <w:ind w:left="3076" w:hanging="360"/>
      </w:pPr>
      <w:rPr>
        <w:rFonts w:ascii="Wingdings" w:hAnsi="Wingdings" w:hint="default"/>
      </w:rPr>
    </w:lvl>
    <w:lvl w:ilvl="3" w:tplc="04190001" w:tentative="1">
      <w:start w:val="1"/>
      <w:numFmt w:val="bullet"/>
      <w:lvlText w:val=""/>
      <w:lvlJc w:val="left"/>
      <w:pPr>
        <w:tabs>
          <w:tab w:val="num" w:pos="3796"/>
        </w:tabs>
        <w:ind w:left="3796" w:hanging="360"/>
      </w:pPr>
      <w:rPr>
        <w:rFonts w:ascii="Symbol" w:hAnsi="Symbol" w:hint="default"/>
      </w:rPr>
    </w:lvl>
    <w:lvl w:ilvl="4" w:tplc="04190003" w:tentative="1">
      <w:start w:val="1"/>
      <w:numFmt w:val="bullet"/>
      <w:lvlText w:val="o"/>
      <w:lvlJc w:val="left"/>
      <w:pPr>
        <w:tabs>
          <w:tab w:val="num" w:pos="4516"/>
        </w:tabs>
        <w:ind w:left="4516" w:hanging="360"/>
      </w:pPr>
      <w:rPr>
        <w:rFonts w:ascii="Courier New" w:hAnsi="Courier New" w:hint="default"/>
      </w:rPr>
    </w:lvl>
    <w:lvl w:ilvl="5" w:tplc="04190005" w:tentative="1">
      <w:start w:val="1"/>
      <w:numFmt w:val="bullet"/>
      <w:lvlText w:val=""/>
      <w:lvlJc w:val="left"/>
      <w:pPr>
        <w:tabs>
          <w:tab w:val="num" w:pos="5236"/>
        </w:tabs>
        <w:ind w:left="5236" w:hanging="360"/>
      </w:pPr>
      <w:rPr>
        <w:rFonts w:ascii="Wingdings" w:hAnsi="Wingdings" w:hint="default"/>
      </w:rPr>
    </w:lvl>
    <w:lvl w:ilvl="6" w:tplc="04190001" w:tentative="1">
      <w:start w:val="1"/>
      <w:numFmt w:val="bullet"/>
      <w:lvlText w:val=""/>
      <w:lvlJc w:val="left"/>
      <w:pPr>
        <w:tabs>
          <w:tab w:val="num" w:pos="5956"/>
        </w:tabs>
        <w:ind w:left="5956" w:hanging="360"/>
      </w:pPr>
      <w:rPr>
        <w:rFonts w:ascii="Symbol" w:hAnsi="Symbol" w:hint="default"/>
      </w:rPr>
    </w:lvl>
    <w:lvl w:ilvl="7" w:tplc="04190003" w:tentative="1">
      <w:start w:val="1"/>
      <w:numFmt w:val="bullet"/>
      <w:lvlText w:val="o"/>
      <w:lvlJc w:val="left"/>
      <w:pPr>
        <w:tabs>
          <w:tab w:val="num" w:pos="6676"/>
        </w:tabs>
        <w:ind w:left="6676" w:hanging="360"/>
      </w:pPr>
      <w:rPr>
        <w:rFonts w:ascii="Courier New" w:hAnsi="Courier New" w:hint="default"/>
      </w:rPr>
    </w:lvl>
    <w:lvl w:ilvl="8" w:tplc="04190005" w:tentative="1">
      <w:start w:val="1"/>
      <w:numFmt w:val="bullet"/>
      <w:lvlText w:val=""/>
      <w:lvlJc w:val="left"/>
      <w:pPr>
        <w:tabs>
          <w:tab w:val="num" w:pos="7396"/>
        </w:tabs>
        <w:ind w:left="7396" w:hanging="360"/>
      </w:pPr>
      <w:rPr>
        <w:rFonts w:ascii="Wingdings" w:hAnsi="Wingdings" w:hint="default"/>
      </w:rPr>
    </w:lvl>
  </w:abstractNum>
  <w:abstractNum w:abstractNumId="25">
    <w:nsid w:val="4C4423BA"/>
    <w:multiLevelType w:val="hybridMultilevel"/>
    <w:tmpl w:val="895CEEA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4EFF5C7B"/>
    <w:multiLevelType w:val="multilevel"/>
    <w:tmpl w:val="FEF0DB8C"/>
    <w:lvl w:ilvl="0">
      <w:start w:val="1"/>
      <w:numFmt w:val="bullet"/>
      <w:lvlText w:val=""/>
      <w:lvlJc w:val="left"/>
      <w:pPr>
        <w:tabs>
          <w:tab w:val="num" w:pos="720"/>
        </w:tabs>
        <w:ind w:left="720" w:hanging="360"/>
      </w:pPr>
      <w:rPr>
        <w:rFonts w:ascii="Wingdings" w:hAnsi="Wingdings" w:hint="default"/>
        <w:b/>
        <w:i w:val="0"/>
        <w:color w:val="auto"/>
        <w:sz w:val="24"/>
        <w:szCs w:val="24"/>
        <w14:shadow w14:blurRad="0" w14:dist="0" w14:dir="0" w14:sx="0" w14:sy="0" w14:kx="0" w14:ky="0" w14:algn="none">
          <w14:srgbClr w14:val="000000"/>
        </w14:shadow>
        <w14:textOutline w14:w="0" w14:cap="rnd" w14:cmpd="sng" w14:algn="ctr">
          <w14:noFill/>
          <w14:prstDash w14:val="solid"/>
          <w14:bevel/>
        </w14:textOutline>
        <w14:textFill>
          <w14:noFill/>
        </w14:textFill>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nsid w:val="53192216"/>
    <w:multiLevelType w:val="hybridMultilevel"/>
    <w:tmpl w:val="0D829F2C"/>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53C1B57"/>
    <w:multiLevelType w:val="hybridMultilevel"/>
    <w:tmpl w:val="3208BD40"/>
    <w:lvl w:ilvl="0" w:tplc="7B1EAD60">
      <w:start w:val="2"/>
      <w:numFmt w:val="bullet"/>
      <w:lvlText w:val="-"/>
      <w:lvlJc w:val="left"/>
      <w:pPr>
        <w:tabs>
          <w:tab w:val="num" w:pos="1578"/>
        </w:tabs>
        <w:ind w:left="1578" w:hanging="870"/>
      </w:pPr>
      <w:rPr>
        <w:rFonts w:ascii="Times New Roman" w:eastAsia="MS Mincho" w:hAnsi="Times New Roman" w:cs="Times New Roman" w:hint="default"/>
      </w:rPr>
    </w:lvl>
    <w:lvl w:ilvl="1" w:tplc="04190003">
      <w:start w:val="1"/>
      <w:numFmt w:val="bullet"/>
      <w:lvlText w:val="o"/>
      <w:lvlJc w:val="left"/>
      <w:pPr>
        <w:tabs>
          <w:tab w:val="num" w:pos="1788"/>
        </w:tabs>
        <w:ind w:left="1788" w:hanging="360"/>
      </w:pPr>
      <w:rPr>
        <w:rFonts w:ascii="Courier New" w:hAnsi="Courier New" w:hint="default"/>
      </w:rPr>
    </w:lvl>
    <w:lvl w:ilvl="2" w:tplc="04190005">
      <w:start w:val="1"/>
      <w:numFmt w:val="bullet"/>
      <w:lvlText w:val=""/>
      <w:lvlJc w:val="left"/>
      <w:pPr>
        <w:tabs>
          <w:tab w:val="num" w:pos="2508"/>
        </w:tabs>
        <w:ind w:left="2508" w:hanging="360"/>
      </w:pPr>
      <w:rPr>
        <w:rFonts w:ascii="Wingdings" w:hAnsi="Wingdings" w:hint="default"/>
      </w:rPr>
    </w:lvl>
    <w:lvl w:ilvl="3" w:tplc="0419000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29">
    <w:nsid w:val="60B95A6D"/>
    <w:multiLevelType w:val="hybridMultilevel"/>
    <w:tmpl w:val="7DE8BEAA"/>
    <w:lvl w:ilvl="0" w:tplc="3828AB80">
      <w:start w:val="1"/>
      <w:numFmt w:val="bullet"/>
      <w:lvlText w:val=""/>
      <w:lvlJc w:val="left"/>
      <w:pPr>
        <w:tabs>
          <w:tab w:val="num" w:pos="720"/>
        </w:tabs>
        <w:ind w:left="720" w:hanging="360"/>
      </w:pPr>
      <w:rPr>
        <w:rFonts w:ascii="Wingdings" w:hAnsi="Wingdings" w:hint="default"/>
        <w:b/>
        <w:i w:val="0"/>
        <w:color w:val="auto"/>
        <w:sz w:val="20"/>
        <w:szCs w:val="20"/>
        <w14:shadow w14:blurRad="0" w14:dist="0" w14:dir="0" w14:sx="0" w14:sy="0" w14:kx="0" w14:ky="0" w14:algn="none">
          <w14:srgbClr w14:val="000000"/>
        </w14:shadow>
        <w14:textOutline w14:w="0" w14:cap="rnd" w14:cmpd="sng" w14:algn="ctr">
          <w14:noFill/>
          <w14:prstDash w14:val="solid"/>
          <w14:bevel/>
        </w14:textOutline>
        <w14:textFill>
          <w14:noFill/>
        </w14:textFill>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62897263"/>
    <w:multiLevelType w:val="hybridMultilevel"/>
    <w:tmpl w:val="B0E01CB8"/>
    <w:lvl w:ilvl="0" w:tplc="39E6A6CE">
      <w:start w:val="1"/>
      <w:numFmt w:val="decimal"/>
      <w:lvlText w:val="%1."/>
      <w:lvlJc w:val="left"/>
      <w:pPr>
        <w:tabs>
          <w:tab w:val="num" w:pos="720"/>
        </w:tabs>
        <w:ind w:left="720" w:hanging="360"/>
      </w:pPr>
      <w:rPr>
        <w:b/>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647C3D2B"/>
    <w:multiLevelType w:val="hybridMultilevel"/>
    <w:tmpl w:val="D8D4B4F6"/>
    <w:lvl w:ilvl="0" w:tplc="AA3C6258">
      <w:start w:val="1"/>
      <w:numFmt w:val="bullet"/>
      <w:lvlText w:val=""/>
      <w:lvlJc w:val="left"/>
      <w:pPr>
        <w:tabs>
          <w:tab w:val="num" w:pos="1260"/>
        </w:tabs>
        <w:ind w:left="1260" w:hanging="360"/>
      </w:pPr>
      <w:rPr>
        <w:rFonts w:ascii="Wingdings" w:hAnsi="Wingdings" w:hint="default"/>
        <w:b/>
        <w:i w:val="0"/>
        <w:color w:val="auto"/>
        <w:sz w:val="20"/>
        <w:szCs w:val="20"/>
        <w14:shadow w14:blurRad="0" w14:dist="0" w14:dir="0" w14:sx="0" w14:sy="0" w14:kx="0" w14:ky="0" w14:algn="none">
          <w14:srgbClr w14:val="000000"/>
        </w14:shadow>
        <w14:textOutline w14:w="0" w14:cap="rnd" w14:cmpd="sng" w14:algn="ctr">
          <w14:noFill/>
          <w14:prstDash w14:val="solid"/>
          <w14:bevel/>
        </w14:textOutline>
        <w14:textFill>
          <w14:noFill/>
        </w14:textFill>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2">
    <w:nsid w:val="69E96CB1"/>
    <w:multiLevelType w:val="hybridMultilevel"/>
    <w:tmpl w:val="1B0E61A8"/>
    <w:lvl w:ilvl="0" w:tplc="C97403BE">
      <w:start w:val="1"/>
      <w:numFmt w:val="bullet"/>
      <w:lvlText w:val=""/>
      <w:lvlJc w:val="left"/>
      <w:pPr>
        <w:tabs>
          <w:tab w:val="num" w:pos="1800"/>
        </w:tabs>
        <w:ind w:left="1800" w:hanging="360"/>
      </w:pPr>
      <w:rPr>
        <w:rFonts w:ascii="Wingdings" w:hAnsi="Wingdings" w:hint="default"/>
        <w:b/>
        <w:i w:val="0"/>
        <w:color w:val="auto"/>
        <w:sz w:val="16"/>
        <w:szCs w:val="16"/>
        <w14:shadow w14:blurRad="0" w14:dist="0" w14:dir="0" w14:sx="0" w14:sy="0" w14:kx="0" w14:ky="0" w14:algn="none">
          <w14:srgbClr w14:val="000000"/>
        </w14:shadow>
        <w14:textOutline w14:w="0" w14:cap="rnd" w14:cmpd="sng" w14:algn="ctr">
          <w14:noFill/>
          <w14:prstDash w14:val="solid"/>
          <w14:bevel/>
        </w14:textOutline>
        <w14:textFill>
          <w14:noFill/>
        </w14:textFill>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6ACE256F"/>
    <w:multiLevelType w:val="hybridMultilevel"/>
    <w:tmpl w:val="CFF20164"/>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716C1398"/>
    <w:multiLevelType w:val="hybridMultilevel"/>
    <w:tmpl w:val="BABA1310"/>
    <w:lvl w:ilvl="0" w:tplc="A6209F70">
      <w:start w:val="1"/>
      <w:numFmt w:val="bullet"/>
      <w:lvlText w:val=""/>
      <w:lvlJc w:val="left"/>
      <w:pPr>
        <w:ind w:left="720" w:hanging="360"/>
      </w:pPr>
      <w:rPr>
        <w:rFonts w:ascii="Wingdings" w:hAnsi="Wingdings" w:hint="default"/>
        <w:sz w:val="22"/>
        <w:szCs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1CA2324"/>
    <w:multiLevelType w:val="hybridMultilevel"/>
    <w:tmpl w:val="93F21ED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3B23A22"/>
    <w:multiLevelType w:val="hybridMultilevel"/>
    <w:tmpl w:val="D0526A18"/>
    <w:lvl w:ilvl="0" w:tplc="7E002C66">
      <w:start w:val="1"/>
      <w:numFmt w:val="bullet"/>
      <w:lvlText w:val=""/>
      <w:lvlJc w:val="left"/>
      <w:pPr>
        <w:tabs>
          <w:tab w:val="num" w:pos="1260"/>
        </w:tabs>
        <w:ind w:left="1260" w:hanging="360"/>
      </w:pPr>
      <w:rPr>
        <w:rFonts w:ascii="Wingdings" w:hAnsi="Wingdings" w:hint="default"/>
        <w:b/>
        <w:i w:val="0"/>
        <w:color w:val="auto"/>
        <w:sz w:val="20"/>
        <w:szCs w:val="20"/>
        <w14:shadow w14:blurRad="0" w14:dist="0" w14:dir="0" w14:sx="0" w14:sy="0" w14:kx="0" w14:ky="0" w14:algn="none">
          <w14:srgbClr w14:val="000000"/>
        </w14:shadow>
        <w14:textOutline w14:w="0" w14:cap="rnd" w14:cmpd="sng" w14:algn="ctr">
          <w14:noFill/>
          <w14:prstDash w14:val="solid"/>
          <w14:bevel/>
        </w14:textOutline>
        <w14:textFill>
          <w14:noFill/>
        </w14:textFill>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7">
    <w:nsid w:val="790F093F"/>
    <w:multiLevelType w:val="hybridMultilevel"/>
    <w:tmpl w:val="B03C690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E4333CA"/>
    <w:multiLevelType w:val="hybridMultilevel"/>
    <w:tmpl w:val="F14EBF7A"/>
    <w:lvl w:ilvl="0" w:tplc="04190005">
      <w:start w:val="1"/>
      <w:numFmt w:val="bullet"/>
      <w:lvlText w:val=""/>
      <w:lvlJc w:val="left"/>
      <w:pPr>
        <w:tabs>
          <w:tab w:val="num" w:pos="1043"/>
        </w:tabs>
        <w:ind w:left="1043" w:hanging="360"/>
      </w:pPr>
      <w:rPr>
        <w:rFonts w:ascii="Wingdings" w:hAnsi="Wingdings" w:hint="default"/>
      </w:rPr>
    </w:lvl>
    <w:lvl w:ilvl="1" w:tplc="04190003" w:tentative="1">
      <w:start w:val="1"/>
      <w:numFmt w:val="bullet"/>
      <w:lvlText w:val="o"/>
      <w:lvlJc w:val="left"/>
      <w:pPr>
        <w:tabs>
          <w:tab w:val="num" w:pos="1763"/>
        </w:tabs>
        <w:ind w:left="1763" w:hanging="360"/>
      </w:pPr>
      <w:rPr>
        <w:rFonts w:ascii="Courier New" w:hAnsi="Courier New" w:cs="Courier New" w:hint="default"/>
      </w:rPr>
    </w:lvl>
    <w:lvl w:ilvl="2" w:tplc="04190005" w:tentative="1">
      <w:start w:val="1"/>
      <w:numFmt w:val="bullet"/>
      <w:lvlText w:val=""/>
      <w:lvlJc w:val="left"/>
      <w:pPr>
        <w:tabs>
          <w:tab w:val="num" w:pos="2483"/>
        </w:tabs>
        <w:ind w:left="2483" w:hanging="360"/>
      </w:pPr>
      <w:rPr>
        <w:rFonts w:ascii="Wingdings" w:hAnsi="Wingdings" w:hint="default"/>
      </w:rPr>
    </w:lvl>
    <w:lvl w:ilvl="3" w:tplc="04190001" w:tentative="1">
      <w:start w:val="1"/>
      <w:numFmt w:val="bullet"/>
      <w:lvlText w:val=""/>
      <w:lvlJc w:val="left"/>
      <w:pPr>
        <w:tabs>
          <w:tab w:val="num" w:pos="3203"/>
        </w:tabs>
        <w:ind w:left="3203" w:hanging="360"/>
      </w:pPr>
      <w:rPr>
        <w:rFonts w:ascii="Symbol" w:hAnsi="Symbol" w:hint="default"/>
      </w:rPr>
    </w:lvl>
    <w:lvl w:ilvl="4" w:tplc="04190003" w:tentative="1">
      <w:start w:val="1"/>
      <w:numFmt w:val="bullet"/>
      <w:lvlText w:val="o"/>
      <w:lvlJc w:val="left"/>
      <w:pPr>
        <w:tabs>
          <w:tab w:val="num" w:pos="3923"/>
        </w:tabs>
        <w:ind w:left="3923" w:hanging="360"/>
      </w:pPr>
      <w:rPr>
        <w:rFonts w:ascii="Courier New" w:hAnsi="Courier New" w:cs="Courier New" w:hint="default"/>
      </w:rPr>
    </w:lvl>
    <w:lvl w:ilvl="5" w:tplc="04190005" w:tentative="1">
      <w:start w:val="1"/>
      <w:numFmt w:val="bullet"/>
      <w:lvlText w:val=""/>
      <w:lvlJc w:val="left"/>
      <w:pPr>
        <w:tabs>
          <w:tab w:val="num" w:pos="4643"/>
        </w:tabs>
        <w:ind w:left="4643" w:hanging="360"/>
      </w:pPr>
      <w:rPr>
        <w:rFonts w:ascii="Wingdings" w:hAnsi="Wingdings" w:hint="default"/>
      </w:rPr>
    </w:lvl>
    <w:lvl w:ilvl="6" w:tplc="04190001" w:tentative="1">
      <w:start w:val="1"/>
      <w:numFmt w:val="bullet"/>
      <w:lvlText w:val=""/>
      <w:lvlJc w:val="left"/>
      <w:pPr>
        <w:tabs>
          <w:tab w:val="num" w:pos="5363"/>
        </w:tabs>
        <w:ind w:left="5363" w:hanging="360"/>
      </w:pPr>
      <w:rPr>
        <w:rFonts w:ascii="Symbol" w:hAnsi="Symbol" w:hint="default"/>
      </w:rPr>
    </w:lvl>
    <w:lvl w:ilvl="7" w:tplc="04190003" w:tentative="1">
      <w:start w:val="1"/>
      <w:numFmt w:val="bullet"/>
      <w:lvlText w:val="o"/>
      <w:lvlJc w:val="left"/>
      <w:pPr>
        <w:tabs>
          <w:tab w:val="num" w:pos="6083"/>
        </w:tabs>
        <w:ind w:left="6083" w:hanging="360"/>
      </w:pPr>
      <w:rPr>
        <w:rFonts w:ascii="Courier New" w:hAnsi="Courier New" w:cs="Courier New" w:hint="default"/>
      </w:rPr>
    </w:lvl>
    <w:lvl w:ilvl="8" w:tplc="04190005" w:tentative="1">
      <w:start w:val="1"/>
      <w:numFmt w:val="bullet"/>
      <w:lvlText w:val=""/>
      <w:lvlJc w:val="left"/>
      <w:pPr>
        <w:tabs>
          <w:tab w:val="num" w:pos="6803"/>
        </w:tabs>
        <w:ind w:left="6803" w:hanging="360"/>
      </w:pPr>
      <w:rPr>
        <w:rFonts w:ascii="Wingdings" w:hAnsi="Wingdings" w:hint="default"/>
      </w:rPr>
    </w:lvl>
  </w:abstractNum>
  <w:num w:numId="1">
    <w:abstractNumId w:val="20"/>
  </w:num>
  <w:num w:numId="2">
    <w:abstractNumId w:val="16"/>
  </w:num>
  <w:num w:numId="3">
    <w:abstractNumId w:val="24"/>
  </w:num>
  <w:num w:numId="4">
    <w:abstractNumId w:val="22"/>
  </w:num>
  <w:num w:numId="5">
    <w:abstractNumId w:val="1"/>
  </w:num>
  <w:num w:numId="6">
    <w:abstractNumId w:val="28"/>
  </w:num>
  <w:num w:numId="7">
    <w:abstractNumId w:val="5"/>
  </w:num>
  <w:num w:numId="8">
    <w:abstractNumId w:val="25"/>
  </w:num>
  <w:num w:numId="9">
    <w:abstractNumId w:val="38"/>
  </w:num>
  <w:num w:numId="10">
    <w:abstractNumId w:val="29"/>
  </w:num>
  <w:num w:numId="11">
    <w:abstractNumId w:val="3"/>
  </w:num>
  <w:num w:numId="12">
    <w:abstractNumId w:val="21"/>
  </w:num>
  <w:num w:numId="13">
    <w:abstractNumId w:val="14"/>
  </w:num>
  <w:num w:numId="14">
    <w:abstractNumId w:val="33"/>
  </w:num>
  <w:num w:numId="15">
    <w:abstractNumId w:val="4"/>
  </w:num>
  <w:num w:numId="16">
    <w:abstractNumId w:val="36"/>
  </w:num>
  <w:num w:numId="17">
    <w:abstractNumId w:val="31"/>
  </w:num>
  <w:num w:numId="18">
    <w:abstractNumId w:val="26"/>
  </w:num>
  <w:num w:numId="19">
    <w:abstractNumId w:val="32"/>
  </w:num>
  <w:num w:numId="20">
    <w:abstractNumId w:val="10"/>
  </w:num>
  <w:num w:numId="21">
    <w:abstractNumId w:val="9"/>
  </w:num>
  <w:num w:numId="22">
    <w:abstractNumId w:val="23"/>
  </w:num>
  <w:num w:numId="23">
    <w:abstractNumId w:val="17"/>
  </w:num>
  <w:num w:numId="24">
    <w:abstractNumId w:val="34"/>
  </w:num>
  <w:num w:numId="25">
    <w:abstractNumId w:val="12"/>
  </w:num>
  <w:num w:numId="26">
    <w:abstractNumId w:val="2"/>
  </w:num>
  <w:num w:numId="27">
    <w:abstractNumId w:val="7"/>
  </w:num>
  <w:num w:numId="28">
    <w:abstractNumId w:val="18"/>
  </w:num>
  <w:num w:numId="29">
    <w:abstractNumId w:val="13"/>
  </w:num>
  <w:num w:numId="30">
    <w:abstractNumId w:val="30"/>
  </w:num>
  <w:num w:numId="31">
    <w:abstractNumId w:val="19"/>
  </w:num>
  <w:num w:numId="32">
    <w:abstractNumId w:val="15"/>
  </w:num>
  <w:num w:numId="33">
    <w:abstractNumId w:val="0"/>
  </w:num>
  <w:num w:numId="34">
    <w:abstractNumId w:val="6"/>
  </w:num>
  <w:num w:numId="35">
    <w:abstractNumId w:val="37"/>
  </w:num>
  <w:num w:numId="36">
    <w:abstractNumId w:val="8"/>
  </w:num>
  <w:num w:numId="37">
    <w:abstractNumId w:val="27"/>
  </w:num>
  <w:num w:numId="38">
    <w:abstractNumId w:val="11"/>
  </w:num>
  <w:num w:numId="3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ru-RU" w:vendorID="1" w:dllVersion="512" w:checkStyle="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doNotHyphenateCaps/>
  <w:drawingGridHorizontalSpacing w:val="120"/>
  <w:drawingGridVerticalSpacing w:val="120"/>
  <w:displayHorizontalDrawingGridEvery w:val="0"/>
  <w:displayVerticalDrawingGridEvery w:val="3"/>
  <w:doNotUseMarginsForDrawingGridOrigin/>
  <w:characterSpacingControl w:val="compressPunctuation"/>
  <w:footnotePr>
    <w:footnote w:id="-1"/>
    <w:footnote w:id="0"/>
  </w:footnotePr>
  <w:endnotePr>
    <w:endnote w:id="-1"/>
    <w:endnote w:id="0"/>
  </w:endnotePr>
  <w:compat>
    <w:doNotExpandShiftReturn/>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45C"/>
    <w:rsid w:val="00000F81"/>
    <w:rsid w:val="000018A7"/>
    <w:rsid w:val="0000347F"/>
    <w:rsid w:val="00004D0A"/>
    <w:rsid w:val="00006088"/>
    <w:rsid w:val="0000726D"/>
    <w:rsid w:val="00007E8C"/>
    <w:rsid w:val="00010EFB"/>
    <w:rsid w:val="00011686"/>
    <w:rsid w:val="0001386B"/>
    <w:rsid w:val="00015A0B"/>
    <w:rsid w:val="00016919"/>
    <w:rsid w:val="00021F06"/>
    <w:rsid w:val="0002215A"/>
    <w:rsid w:val="0002388C"/>
    <w:rsid w:val="000239E1"/>
    <w:rsid w:val="00023E43"/>
    <w:rsid w:val="00025C01"/>
    <w:rsid w:val="00025EAA"/>
    <w:rsid w:val="00026C06"/>
    <w:rsid w:val="00027B68"/>
    <w:rsid w:val="00027E20"/>
    <w:rsid w:val="00034B0A"/>
    <w:rsid w:val="00034C1C"/>
    <w:rsid w:val="00034C7A"/>
    <w:rsid w:val="00036D1B"/>
    <w:rsid w:val="000375C8"/>
    <w:rsid w:val="00037A90"/>
    <w:rsid w:val="00041DC9"/>
    <w:rsid w:val="00043E8F"/>
    <w:rsid w:val="00047211"/>
    <w:rsid w:val="00050B57"/>
    <w:rsid w:val="000511F5"/>
    <w:rsid w:val="000525CA"/>
    <w:rsid w:val="00053B57"/>
    <w:rsid w:val="00055208"/>
    <w:rsid w:val="000579C2"/>
    <w:rsid w:val="000579DC"/>
    <w:rsid w:val="0006022B"/>
    <w:rsid w:val="0006063C"/>
    <w:rsid w:val="00062121"/>
    <w:rsid w:val="0006233B"/>
    <w:rsid w:val="00062789"/>
    <w:rsid w:val="000638AD"/>
    <w:rsid w:val="000643B2"/>
    <w:rsid w:val="00066A51"/>
    <w:rsid w:val="00067018"/>
    <w:rsid w:val="00067245"/>
    <w:rsid w:val="00071710"/>
    <w:rsid w:val="00071DE5"/>
    <w:rsid w:val="00073D44"/>
    <w:rsid w:val="00076296"/>
    <w:rsid w:val="00076C61"/>
    <w:rsid w:val="00076D48"/>
    <w:rsid w:val="00081E38"/>
    <w:rsid w:val="000824E2"/>
    <w:rsid w:val="00084994"/>
    <w:rsid w:val="00085322"/>
    <w:rsid w:val="0008655C"/>
    <w:rsid w:val="00087240"/>
    <w:rsid w:val="0008795D"/>
    <w:rsid w:val="000905A8"/>
    <w:rsid w:val="0009213C"/>
    <w:rsid w:val="00092E2D"/>
    <w:rsid w:val="00096D9B"/>
    <w:rsid w:val="00097C2B"/>
    <w:rsid w:val="00097CA4"/>
    <w:rsid w:val="000A069B"/>
    <w:rsid w:val="000A2BF0"/>
    <w:rsid w:val="000A2C19"/>
    <w:rsid w:val="000A2CFB"/>
    <w:rsid w:val="000A3EFD"/>
    <w:rsid w:val="000A4728"/>
    <w:rsid w:val="000A61E1"/>
    <w:rsid w:val="000A675C"/>
    <w:rsid w:val="000A7279"/>
    <w:rsid w:val="000A73F8"/>
    <w:rsid w:val="000B009E"/>
    <w:rsid w:val="000B1CF3"/>
    <w:rsid w:val="000B1E45"/>
    <w:rsid w:val="000B2F06"/>
    <w:rsid w:val="000B4D82"/>
    <w:rsid w:val="000B6A87"/>
    <w:rsid w:val="000C0088"/>
    <w:rsid w:val="000C14B4"/>
    <w:rsid w:val="000C14FA"/>
    <w:rsid w:val="000C1907"/>
    <w:rsid w:val="000C77E2"/>
    <w:rsid w:val="000C7C68"/>
    <w:rsid w:val="000D17DD"/>
    <w:rsid w:val="000D182F"/>
    <w:rsid w:val="000D24D9"/>
    <w:rsid w:val="000D2CD9"/>
    <w:rsid w:val="000D3F70"/>
    <w:rsid w:val="000D40A3"/>
    <w:rsid w:val="000D5381"/>
    <w:rsid w:val="000D5A61"/>
    <w:rsid w:val="000D6D2D"/>
    <w:rsid w:val="000D753D"/>
    <w:rsid w:val="000D7A3F"/>
    <w:rsid w:val="000E0445"/>
    <w:rsid w:val="000E0FD6"/>
    <w:rsid w:val="000E12AA"/>
    <w:rsid w:val="000E2A50"/>
    <w:rsid w:val="000E2D4F"/>
    <w:rsid w:val="000E306C"/>
    <w:rsid w:val="000E4DF2"/>
    <w:rsid w:val="000E777D"/>
    <w:rsid w:val="000F0D7B"/>
    <w:rsid w:val="000F1A7C"/>
    <w:rsid w:val="000F3371"/>
    <w:rsid w:val="000F3D47"/>
    <w:rsid w:val="000F4073"/>
    <w:rsid w:val="000F4415"/>
    <w:rsid w:val="000F4ECA"/>
    <w:rsid w:val="000F4F08"/>
    <w:rsid w:val="000F5210"/>
    <w:rsid w:val="000F64EB"/>
    <w:rsid w:val="000F6A3A"/>
    <w:rsid w:val="000F74DC"/>
    <w:rsid w:val="000F7711"/>
    <w:rsid w:val="001013B4"/>
    <w:rsid w:val="00101731"/>
    <w:rsid w:val="00101758"/>
    <w:rsid w:val="00101AD1"/>
    <w:rsid w:val="001025CE"/>
    <w:rsid w:val="0010301E"/>
    <w:rsid w:val="00103920"/>
    <w:rsid w:val="00103CAB"/>
    <w:rsid w:val="0010678D"/>
    <w:rsid w:val="001071EB"/>
    <w:rsid w:val="001076EC"/>
    <w:rsid w:val="0010786D"/>
    <w:rsid w:val="001107E3"/>
    <w:rsid w:val="00113665"/>
    <w:rsid w:val="00115E79"/>
    <w:rsid w:val="00120166"/>
    <w:rsid w:val="00120205"/>
    <w:rsid w:val="00121353"/>
    <w:rsid w:val="001222F0"/>
    <w:rsid w:val="00124435"/>
    <w:rsid w:val="0012544A"/>
    <w:rsid w:val="0012592D"/>
    <w:rsid w:val="0012797C"/>
    <w:rsid w:val="0013039B"/>
    <w:rsid w:val="00130955"/>
    <w:rsid w:val="00131140"/>
    <w:rsid w:val="00132C01"/>
    <w:rsid w:val="00136BCD"/>
    <w:rsid w:val="00137428"/>
    <w:rsid w:val="00137EF3"/>
    <w:rsid w:val="00141B8C"/>
    <w:rsid w:val="0014645C"/>
    <w:rsid w:val="00150E13"/>
    <w:rsid w:val="001518A0"/>
    <w:rsid w:val="0015264F"/>
    <w:rsid w:val="0016052C"/>
    <w:rsid w:val="00160BE6"/>
    <w:rsid w:val="0016342A"/>
    <w:rsid w:val="00165FFD"/>
    <w:rsid w:val="0016676C"/>
    <w:rsid w:val="001711CD"/>
    <w:rsid w:val="00171950"/>
    <w:rsid w:val="00171C8B"/>
    <w:rsid w:val="00172368"/>
    <w:rsid w:val="00172382"/>
    <w:rsid w:val="00172B15"/>
    <w:rsid w:val="00174A4D"/>
    <w:rsid w:val="00177057"/>
    <w:rsid w:val="00177F9B"/>
    <w:rsid w:val="001805DC"/>
    <w:rsid w:val="00181249"/>
    <w:rsid w:val="001812FA"/>
    <w:rsid w:val="0018286B"/>
    <w:rsid w:val="00183BEF"/>
    <w:rsid w:val="001843F3"/>
    <w:rsid w:val="00186E45"/>
    <w:rsid w:val="00191015"/>
    <w:rsid w:val="00193309"/>
    <w:rsid w:val="001945AD"/>
    <w:rsid w:val="00196D26"/>
    <w:rsid w:val="00196DCC"/>
    <w:rsid w:val="00197B04"/>
    <w:rsid w:val="00197C6C"/>
    <w:rsid w:val="001A2A59"/>
    <w:rsid w:val="001A3199"/>
    <w:rsid w:val="001A3871"/>
    <w:rsid w:val="001A5124"/>
    <w:rsid w:val="001A6943"/>
    <w:rsid w:val="001A6BA2"/>
    <w:rsid w:val="001A7DDD"/>
    <w:rsid w:val="001A7FFD"/>
    <w:rsid w:val="001B1402"/>
    <w:rsid w:val="001B1DA8"/>
    <w:rsid w:val="001B3F2B"/>
    <w:rsid w:val="001B4797"/>
    <w:rsid w:val="001B4B2C"/>
    <w:rsid w:val="001B4EC5"/>
    <w:rsid w:val="001B6887"/>
    <w:rsid w:val="001B6EB1"/>
    <w:rsid w:val="001C14C6"/>
    <w:rsid w:val="001C1CD6"/>
    <w:rsid w:val="001C404C"/>
    <w:rsid w:val="001C4654"/>
    <w:rsid w:val="001C5B9B"/>
    <w:rsid w:val="001C62FE"/>
    <w:rsid w:val="001C6894"/>
    <w:rsid w:val="001C70C9"/>
    <w:rsid w:val="001C7661"/>
    <w:rsid w:val="001D0344"/>
    <w:rsid w:val="001D0595"/>
    <w:rsid w:val="001D0F98"/>
    <w:rsid w:val="001D1496"/>
    <w:rsid w:val="001D3E86"/>
    <w:rsid w:val="001D4173"/>
    <w:rsid w:val="001D4407"/>
    <w:rsid w:val="001D50E7"/>
    <w:rsid w:val="001D62E7"/>
    <w:rsid w:val="001D6512"/>
    <w:rsid w:val="001D69ED"/>
    <w:rsid w:val="001D6B67"/>
    <w:rsid w:val="001D7748"/>
    <w:rsid w:val="001D7E8A"/>
    <w:rsid w:val="001E029B"/>
    <w:rsid w:val="001E08CF"/>
    <w:rsid w:val="001E2AD3"/>
    <w:rsid w:val="001E326D"/>
    <w:rsid w:val="001E5E70"/>
    <w:rsid w:val="001E7685"/>
    <w:rsid w:val="001F1572"/>
    <w:rsid w:val="001F362E"/>
    <w:rsid w:val="001F3F8C"/>
    <w:rsid w:val="001F57C6"/>
    <w:rsid w:val="001F6C9D"/>
    <w:rsid w:val="001F74C5"/>
    <w:rsid w:val="002000D1"/>
    <w:rsid w:val="002005E6"/>
    <w:rsid w:val="00201DE6"/>
    <w:rsid w:val="00204619"/>
    <w:rsid w:val="002054A0"/>
    <w:rsid w:val="0021374E"/>
    <w:rsid w:val="002148D1"/>
    <w:rsid w:val="002148E9"/>
    <w:rsid w:val="00214E1E"/>
    <w:rsid w:val="00215C8C"/>
    <w:rsid w:val="00216E88"/>
    <w:rsid w:val="00217BCE"/>
    <w:rsid w:val="00221AFE"/>
    <w:rsid w:val="00222182"/>
    <w:rsid w:val="002231A8"/>
    <w:rsid w:val="002239ED"/>
    <w:rsid w:val="00223DED"/>
    <w:rsid w:val="0022580A"/>
    <w:rsid w:val="00226AA0"/>
    <w:rsid w:val="00230E9B"/>
    <w:rsid w:val="00231A85"/>
    <w:rsid w:val="00231C87"/>
    <w:rsid w:val="00234070"/>
    <w:rsid w:val="00235B61"/>
    <w:rsid w:val="00236463"/>
    <w:rsid w:val="00236B85"/>
    <w:rsid w:val="00237CE4"/>
    <w:rsid w:val="002411EC"/>
    <w:rsid w:val="0024305E"/>
    <w:rsid w:val="00244F3C"/>
    <w:rsid w:val="00245C39"/>
    <w:rsid w:val="0024628A"/>
    <w:rsid w:val="00247461"/>
    <w:rsid w:val="0025074E"/>
    <w:rsid w:val="00251AB9"/>
    <w:rsid w:val="0025427D"/>
    <w:rsid w:val="002552D7"/>
    <w:rsid w:val="002572A2"/>
    <w:rsid w:val="00262F7F"/>
    <w:rsid w:val="00263DF2"/>
    <w:rsid w:val="00264AE7"/>
    <w:rsid w:val="00265839"/>
    <w:rsid w:val="00270F34"/>
    <w:rsid w:val="00271AB1"/>
    <w:rsid w:val="00271F8A"/>
    <w:rsid w:val="00276025"/>
    <w:rsid w:val="002814A1"/>
    <w:rsid w:val="00282836"/>
    <w:rsid w:val="00283341"/>
    <w:rsid w:val="002846B6"/>
    <w:rsid w:val="00284F4A"/>
    <w:rsid w:val="00284FE5"/>
    <w:rsid w:val="0028596C"/>
    <w:rsid w:val="00285CCA"/>
    <w:rsid w:val="00285DE9"/>
    <w:rsid w:val="0028686D"/>
    <w:rsid w:val="002901C1"/>
    <w:rsid w:val="00292C42"/>
    <w:rsid w:val="002938B7"/>
    <w:rsid w:val="002A08A4"/>
    <w:rsid w:val="002A680E"/>
    <w:rsid w:val="002B00C4"/>
    <w:rsid w:val="002B0ECE"/>
    <w:rsid w:val="002B2574"/>
    <w:rsid w:val="002B27A0"/>
    <w:rsid w:val="002B292A"/>
    <w:rsid w:val="002B2E76"/>
    <w:rsid w:val="002B6469"/>
    <w:rsid w:val="002B6678"/>
    <w:rsid w:val="002B7FE0"/>
    <w:rsid w:val="002C0260"/>
    <w:rsid w:val="002C0422"/>
    <w:rsid w:val="002C04C1"/>
    <w:rsid w:val="002C08C1"/>
    <w:rsid w:val="002C108D"/>
    <w:rsid w:val="002C1DC1"/>
    <w:rsid w:val="002C1FBF"/>
    <w:rsid w:val="002C2224"/>
    <w:rsid w:val="002C2A27"/>
    <w:rsid w:val="002C37F3"/>
    <w:rsid w:val="002C3D0F"/>
    <w:rsid w:val="002C3F42"/>
    <w:rsid w:val="002C6AA9"/>
    <w:rsid w:val="002C7456"/>
    <w:rsid w:val="002D0339"/>
    <w:rsid w:val="002D04F5"/>
    <w:rsid w:val="002D1618"/>
    <w:rsid w:val="002D177D"/>
    <w:rsid w:val="002D3989"/>
    <w:rsid w:val="002D5F03"/>
    <w:rsid w:val="002D6834"/>
    <w:rsid w:val="002D7255"/>
    <w:rsid w:val="002E087F"/>
    <w:rsid w:val="002E0B19"/>
    <w:rsid w:val="002E29CF"/>
    <w:rsid w:val="002E365B"/>
    <w:rsid w:val="002E45A5"/>
    <w:rsid w:val="002E5012"/>
    <w:rsid w:val="002E5CE1"/>
    <w:rsid w:val="002E60F4"/>
    <w:rsid w:val="002E7C9C"/>
    <w:rsid w:val="002F16DD"/>
    <w:rsid w:val="002F18FC"/>
    <w:rsid w:val="002F1E3A"/>
    <w:rsid w:val="002F263A"/>
    <w:rsid w:val="002F3526"/>
    <w:rsid w:val="002F58FF"/>
    <w:rsid w:val="002F651E"/>
    <w:rsid w:val="002F6ACA"/>
    <w:rsid w:val="00300F58"/>
    <w:rsid w:val="00302B0E"/>
    <w:rsid w:val="00305553"/>
    <w:rsid w:val="0030567A"/>
    <w:rsid w:val="003073ED"/>
    <w:rsid w:val="003102DC"/>
    <w:rsid w:val="003109B2"/>
    <w:rsid w:val="00310CD4"/>
    <w:rsid w:val="00310D5B"/>
    <w:rsid w:val="00311978"/>
    <w:rsid w:val="0031226C"/>
    <w:rsid w:val="003126A2"/>
    <w:rsid w:val="00312CF3"/>
    <w:rsid w:val="00315F5C"/>
    <w:rsid w:val="003179B7"/>
    <w:rsid w:val="00320589"/>
    <w:rsid w:val="0032067B"/>
    <w:rsid w:val="00321120"/>
    <w:rsid w:val="00325319"/>
    <w:rsid w:val="00326170"/>
    <w:rsid w:val="00326483"/>
    <w:rsid w:val="003266FE"/>
    <w:rsid w:val="00327148"/>
    <w:rsid w:val="003315B0"/>
    <w:rsid w:val="00332916"/>
    <w:rsid w:val="0033411E"/>
    <w:rsid w:val="00334BAD"/>
    <w:rsid w:val="00335750"/>
    <w:rsid w:val="0034030E"/>
    <w:rsid w:val="003410F7"/>
    <w:rsid w:val="003417FA"/>
    <w:rsid w:val="003420D5"/>
    <w:rsid w:val="00342783"/>
    <w:rsid w:val="00342963"/>
    <w:rsid w:val="00343B3B"/>
    <w:rsid w:val="00345B62"/>
    <w:rsid w:val="00347F58"/>
    <w:rsid w:val="00351079"/>
    <w:rsid w:val="00351EB3"/>
    <w:rsid w:val="00352DE0"/>
    <w:rsid w:val="00353235"/>
    <w:rsid w:val="00353AFD"/>
    <w:rsid w:val="00355346"/>
    <w:rsid w:val="00357334"/>
    <w:rsid w:val="00357FA5"/>
    <w:rsid w:val="00360568"/>
    <w:rsid w:val="003642ED"/>
    <w:rsid w:val="003658E8"/>
    <w:rsid w:val="00366AC8"/>
    <w:rsid w:val="00367F63"/>
    <w:rsid w:val="00370765"/>
    <w:rsid w:val="00371795"/>
    <w:rsid w:val="00372A50"/>
    <w:rsid w:val="00372D25"/>
    <w:rsid w:val="0037308F"/>
    <w:rsid w:val="00374383"/>
    <w:rsid w:val="0037552A"/>
    <w:rsid w:val="00376AEE"/>
    <w:rsid w:val="00380C31"/>
    <w:rsid w:val="00384169"/>
    <w:rsid w:val="00384483"/>
    <w:rsid w:val="003848E2"/>
    <w:rsid w:val="00385460"/>
    <w:rsid w:val="003865FC"/>
    <w:rsid w:val="00387040"/>
    <w:rsid w:val="00392ED9"/>
    <w:rsid w:val="00393A65"/>
    <w:rsid w:val="00394C5B"/>
    <w:rsid w:val="0039555D"/>
    <w:rsid w:val="00396C11"/>
    <w:rsid w:val="003A13F6"/>
    <w:rsid w:val="003A245C"/>
    <w:rsid w:val="003A2BD5"/>
    <w:rsid w:val="003A31D7"/>
    <w:rsid w:val="003A3210"/>
    <w:rsid w:val="003A4510"/>
    <w:rsid w:val="003A4F4F"/>
    <w:rsid w:val="003A4F9F"/>
    <w:rsid w:val="003A5137"/>
    <w:rsid w:val="003A6357"/>
    <w:rsid w:val="003A6D7D"/>
    <w:rsid w:val="003A6FAB"/>
    <w:rsid w:val="003A791F"/>
    <w:rsid w:val="003B0E59"/>
    <w:rsid w:val="003B2EAC"/>
    <w:rsid w:val="003B45A3"/>
    <w:rsid w:val="003B45E5"/>
    <w:rsid w:val="003B4EB3"/>
    <w:rsid w:val="003C0BB9"/>
    <w:rsid w:val="003C0FB9"/>
    <w:rsid w:val="003C1F8D"/>
    <w:rsid w:val="003C7083"/>
    <w:rsid w:val="003D05A3"/>
    <w:rsid w:val="003D08EE"/>
    <w:rsid w:val="003D1885"/>
    <w:rsid w:val="003D18CB"/>
    <w:rsid w:val="003D3029"/>
    <w:rsid w:val="003D40E1"/>
    <w:rsid w:val="003D4451"/>
    <w:rsid w:val="003D721E"/>
    <w:rsid w:val="003E1317"/>
    <w:rsid w:val="003E213A"/>
    <w:rsid w:val="003E3E88"/>
    <w:rsid w:val="003E5232"/>
    <w:rsid w:val="003E54A6"/>
    <w:rsid w:val="003E5C0D"/>
    <w:rsid w:val="003E6114"/>
    <w:rsid w:val="003E71D2"/>
    <w:rsid w:val="003E7740"/>
    <w:rsid w:val="003F24B6"/>
    <w:rsid w:val="003F36BF"/>
    <w:rsid w:val="003F47E4"/>
    <w:rsid w:val="003F57F1"/>
    <w:rsid w:val="003F5E6B"/>
    <w:rsid w:val="003F64A9"/>
    <w:rsid w:val="003F797F"/>
    <w:rsid w:val="00401A5C"/>
    <w:rsid w:val="00402707"/>
    <w:rsid w:val="0040382F"/>
    <w:rsid w:val="00403B1D"/>
    <w:rsid w:val="00404307"/>
    <w:rsid w:val="00404827"/>
    <w:rsid w:val="004049B4"/>
    <w:rsid w:val="004052DA"/>
    <w:rsid w:val="004054A2"/>
    <w:rsid w:val="0040551F"/>
    <w:rsid w:val="00406546"/>
    <w:rsid w:val="004070C9"/>
    <w:rsid w:val="0040789C"/>
    <w:rsid w:val="00410C33"/>
    <w:rsid w:val="00412B44"/>
    <w:rsid w:val="00414726"/>
    <w:rsid w:val="00417254"/>
    <w:rsid w:val="004172BE"/>
    <w:rsid w:val="00417B27"/>
    <w:rsid w:val="00420375"/>
    <w:rsid w:val="00420BEA"/>
    <w:rsid w:val="004213F0"/>
    <w:rsid w:val="00421554"/>
    <w:rsid w:val="00422116"/>
    <w:rsid w:val="0042349A"/>
    <w:rsid w:val="00423F6F"/>
    <w:rsid w:val="00424A7B"/>
    <w:rsid w:val="00434FCA"/>
    <w:rsid w:val="004350C2"/>
    <w:rsid w:val="0043720B"/>
    <w:rsid w:val="00442C54"/>
    <w:rsid w:val="00444888"/>
    <w:rsid w:val="004474CC"/>
    <w:rsid w:val="00451C7B"/>
    <w:rsid w:val="00452DB8"/>
    <w:rsid w:val="00453ED8"/>
    <w:rsid w:val="00454140"/>
    <w:rsid w:val="00455323"/>
    <w:rsid w:val="00457745"/>
    <w:rsid w:val="00460042"/>
    <w:rsid w:val="0046014C"/>
    <w:rsid w:val="004604DF"/>
    <w:rsid w:val="00461707"/>
    <w:rsid w:val="00461713"/>
    <w:rsid w:val="00461B27"/>
    <w:rsid w:val="004639A8"/>
    <w:rsid w:val="00464FB6"/>
    <w:rsid w:val="00471007"/>
    <w:rsid w:val="00471F5C"/>
    <w:rsid w:val="004722D3"/>
    <w:rsid w:val="00472866"/>
    <w:rsid w:val="00472CBB"/>
    <w:rsid w:val="00472EF0"/>
    <w:rsid w:val="00473D88"/>
    <w:rsid w:val="00474542"/>
    <w:rsid w:val="00475196"/>
    <w:rsid w:val="00475CA5"/>
    <w:rsid w:val="00476BE5"/>
    <w:rsid w:val="004803EA"/>
    <w:rsid w:val="00480E0A"/>
    <w:rsid w:val="00481AC3"/>
    <w:rsid w:val="00482D63"/>
    <w:rsid w:val="00483CA3"/>
    <w:rsid w:val="00483D39"/>
    <w:rsid w:val="00483E0B"/>
    <w:rsid w:val="00484355"/>
    <w:rsid w:val="00485450"/>
    <w:rsid w:val="0048659C"/>
    <w:rsid w:val="004876D8"/>
    <w:rsid w:val="00487B2C"/>
    <w:rsid w:val="00490B12"/>
    <w:rsid w:val="00491F59"/>
    <w:rsid w:val="00492282"/>
    <w:rsid w:val="00493736"/>
    <w:rsid w:val="00493EEE"/>
    <w:rsid w:val="004A06E8"/>
    <w:rsid w:val="004A152D"/>
    <w:rsid w:val="004A1B2E"/>
    <w:rsid w:val="004A1B6A"/>
    <w:rsid w:val="004A1D88"/>
    <w:rsid w:val="004A28AC"/>
    <w:rsid w:val="004A3302"/>
    <w:rsid w:val="004A5049"/>
    <w:rsid w:val="004A6792"/>
    <w:rsid w:val="004A74DA"/>
    <w:rsid w:val="004A795F"/>
    <w:rsid w:val="004A7D02"/>
    <w:rsid w:val="004B2A68"/>
    <w:rsid w:val="004B37A5"/>
    <w:rsid w:val="004B693D"/>
    <w:rsid w:val="004B6A8B"/>
    <w:rsid w:val="004C006E"/>
    <w:rsid w:val="004C1530"/>
    <w:rsid w:val="004C1E7A"/>
    <w:rsid w:val="004C1FEC"/>
    <w:rsid w:val="004C308A"/>
    <w:rsid w:val="004C386E"/>
    <w:rsid w:val="004C3E22"/>
    <w:rsid w:val="004C516A"/>
    <w:rsid w:val="004C5E67"/>
    <w:rsid w:val="004C6CA1"/>
    <w:rsid w:val="004D1354"/>
    <w:rsid w:val="004D4208"/>
    <w:rsid w:val="004D42C6"/>
    <w:rsid w:val="004D6E48"/>
    <w:rsid w:val="004D7ECB"/>
    <w:rsid w:val="004E0A0F"/>
    <w:rsid w:val="004E1023"/>
    <w:rsid w:val="004E3A71"/>
    <w:rsid w:val="004E3B3C"/>
    <w:rsid w:val="004E3B65"/>
    <w:rsid w:val="004E42BE"/>
    <w:rsid w:val="004E4A8C"/>
    <w:rsid w:val="004E7292"/>
    <w:rsid w:val="004E774D"/>
    <w:rsid w:val="004F1D4A"/>
    <w:rsid w:val="004F2ED4"/>
    <w:rsid w:val="004F5804"/>
    <w:rsid w:val="004F6FED"/>
    <w:rsid w:val="004F7097"/>
    <w:rsid w:val="004F74AB"/>
    <w:rsid w:val="00501512"/>
    <w:rsid w:val="00501EE7"/>
    <w:rsid w:val="0050373E"/>
    <w:rsid w:val="00505891"/>
    <w:rsid w:val="005069A1"/>
    <w:rsid w:val="00507E9C"/>
    <w:rsid w:val="00510194"/>
    <w:rsid w:val="005102E4"/>
    <w:rsid w:val="00511292"/>
    <w:rsid w:val="00511444"/>
    <w:rsid w:val="005130CA"/>
    <w:rsid w:val="00513781"/>
    <w:rsid w:val="00514DB1"/>
    <w:rsid w:val="0051504B"/>
    <w:rsid w:val="005152DA"/>
    <w:rsid w:val="005202FB"/>
    <w:rsid w:val="005205A1"/>
    <w:rsid w:val="0052162E"/>
    <w:rsid w:val="00521810"/>
    <w:rsid w:val="00521EAF"/>
    <w:rsid w:val="00521F65"/>
    <w:rsid w:val="00522277"/>
    <w:rsid w:val="00524688"/>
    <w:rsid w:val="00525E47"/>
    <w:rsid w:val="00527163"/>
    <w:rsid w:val="00531AF5"/>
    <w:rsid w:val="00531F6D"/>
    <w:rsid w:val="005321BC"/>
    <w:rsid w:val="005322BD"/>
    <w:rsid w:val="005323ED"/>
    <w:rsid w:val="00533B7B"/>
    <w:rsid w:val="00533E1E"/>
    <w:rsid w:val="00535221"/>
    <w:rsid w:val="0053539E"/>
    <w:rsid w:val="00536043"/>
    <w:rsid w:val="005369E0"/>
    <w:rsid w:val="00536E2E"/>
    <w:rsid w:val="00541086"/>
    <w:rsid w:val="0054307C"/>
    <w:rsid w:val="005437DF"/>
    <w:rsid w:val="00544C96"/>
    <w:rsid w:val="005455EA"/>
    <w:rsid w:val="00545D24"/>
    <w:rsid w:val="00546A96"/>
    <w:rsid w:val="00550017"/>
    <w:rsid w:val="00550BA8"/>
    <w:rsid w:val="00550BCA"/>
    <w:rsid w:val="00551E09"/>
    <w:rsid w:val="00551EF3"/>
    <w:rsid w:val="00552049"/>
    <w:rsid w:val="0055475B"/>
    <w:rsid w:val="005604A7"/>
    <w:rsid w:val="005622DF"/>
    <w:rsid w:val="00562A40"/>
    <w:rsid w:val="00563BF0"/>
    <w:rsid w:val="00564690"/>
    <w:rsid w:val="005651E0"/>
    <w:rsid w:val="00566349"/>
    <w:rsid w:val="00567C20"/>
    <w:rsid w:val="00567D23"/>
    <w:rsid w:val="00571C76"/>
    <w:rsid w:val="00571CBD"/>
    <w:rsid w:val="005721A6"/>
    <w:rsid w:val="00572444"/>
    <w:rsid w:val="0057300E"/>
    <w:rsid w:val="005738EF"/>
    <w:rsid w:val="00573D2B"/>
    <w:rsid w:val="00574420"/>
    <w:rsid w:val="00574BB3"/>
    <w:rsid w:val="00575117"/>
    <w:rsid w:val="005751BD"/>
    <w:rsid w:val="00575A4F"/>
    <w:rsid w:val="00576AD9"/>
    <w:rsid w:val="0057792A"/>
    <w:rsid w:val="00580AE6"/>
    <w:rsid w:val="005810EF"/>
    <w:rsid w:val="00581194"/>
    <w:rsid w:val="0058121F"/>
    <w:rsid w:val="005835B9"/>
    <w:rsid w:val="0058375F"/>
    <w:rsid w:val="00583F72"/>
    <w:rsid w:val="005848E0"/>
    <w:rsid w:val="005853F3"/>
    <w:rsid w:val="005879F8"/>
    <w:rsid w:val="005908CE"/>
    <w:rsid w:val="00592066"/>
    <w:rsid w:val="00592891"/>
    <w:rsid w:val="00593A8A"/>
    <w:rsid w:val="005946E8"/>
    <w:rsid w:val="00594D09"/>
    <w:rsid w:val="005A0230"/>
    <w:rsid w:val="005A0827"/>
    <w:rsid w:val="005A2FAA"/>
    <w:rsid w:val="005A4515"/>
    <w:rsid w:val="005A5208"/>
    <w:rsid w:val="005A5398"/>
    <w:rsid w:val="005A6AC9"/>
    <w:rsid w:val="005B1F24"/>
    <w:rsid w:val="005B2FAF"/>
    <w:rsid w:val="005B30D7"/>
    <w:rsid w:val="005B4155"/>
    <w:rsid w:val="005B41A3"/>
    <w:rsid w:val="005B4E62"/>
    <w:rsid w:val="005B5068"/>
    <w:rsid w:val="005B5ABF"/>
    <w:rsid w:val="005B60B3"/>
    <w:rsid w:val="005B7B5A"/>
    <w:rsid w:val="005C1207"/>
    <w:rsid w:val="005C12A8"/>
    <w:rsid w:val="005C13D6"/>
    <w:rsid w:val="005C4008"/>
    <w:rsid w:val="005C5177"/>
    <w:rsid w:val="005C5460"/>
    <w:rsid w:val="005C5B46"/>
    <w:rsid w:val="005C7021"/>
    <w:rsid w:val="005D0481"/>
    <w:rsid w:val="005D11FF"/>
    <w:rsid w:val="005D1538"/>
    <w:rsid w:val="005D2223"/>
    <w:rsid w:val="005D230A"/>
    <w:rsid w:val="005D3995"/>
    <w:rsid w:val="005D5BB5"/>
    <w:rsid w:val="005D5DEE"/>
    <w:rsid w:val="005D63AC"/>
    <w:rsid w:val="005E0049"/>
    <w:rsid w:val="005E044C"/>
    <w:rsid w:val="005E1D94"/>
    <w:rsid w:val="005E234C"/>
    <w:rsid w:val="005E262F"/>
    <w:rsid w:val="005E2A5F"/>
    <w:rsid w:val="005E4EDC"/>
    <w:rsid w:val="005E5F75"/>
    <w:rsid w:val="005E629F"/>
    <w:rsid w:val="005F0E62"/>
    <w:rsid w:val="005F2A46"/>
    <w:rsid w:val="005F4769"/>
    <w:rsid w:val="005F4C34"/>
    <w:rsid w:val="005F6FA7"/>
    <w:rsid w:val="00600336"/>
    <w:rsid w:val="00604208"/>
    <w:rsid w:val="00604A0D"/>
    <w:rsid w:val="00610F08"/>
    <w:rsid w:val="006114BD"/>
    <w:rsid w:val="006126A2"/>
    <w:rsid w:val="00614E0C"/>
    <w:rsid w:val="0061532B"/>
    <w:rsid w:val="0061686D"/>
    <w:rsid w:val="00616D6C"/>
    <w:rsid w:val="00616FE1"/>
    <w:rsid w:val="00617272"/>
    <w:rsid w:val="00617A56"/>
    <w:rsid w:val="00620098"/>
    <w:rsid w:val="006208F9"/>
    <w:rsid w:val="00620D75"/>
    <w:rsid w:val="00622640"/>
    <w:rsid w:val="00622828"/>
    <w:rsid w:val="00625CEB"/>
    <w:rsid w:val="00626E46"/>
    <w:rsid w:val="006302B6"/>
    <w:rsid w:val="006319BF"/>
    <w:rsid w:val="00632923"/>
    <w:rsid w:val="0063458B"/>
    <w:rsid w:val="006351AE"/>
    <w:rsid w:val="006359CC"/>
    <w:rsid w:val="006369C4"/>
    <w:rsid w:val="0064248A"/>
    <w:rsid w:val="006431FE"/>
    <w:rsid w:val="006461A3"/>
    <w:rsid w:val="00647A2D"/>
    <w:rsid w:val="00651B61"/>
    <w:rsid w:val="00651C58"/>
    <w:rsid w:val="00654042"/>
    <w:rsid w:val="006545D2"/>
    <w:rsid w:val="00654849"/>
    <w:rsid w:val="006555E4"/>
    <w:rsid w:val="00655967"/>
    <w:rsid w:val="00655A23"/>
    <w:rsid w:val="006606E1"/>
    <w:rsid w:val="00660861"/>
    <w:rsid w:val="00662098"/>
    <w:rsid w:val="00663073"/>
    <w:rsid w:val="0066350B"/>
    <w:rsid w:val="00663BF9"/>
    <w:rsid w:val="006641F3"/>
    <w:rsid w:val="006654D5"/>
    <w:rsid w:val="00666F5C"/>
    <w:rsid w:val="006670CF"/>
    <w:rsid w:val="00670BDE"/>
    <w:rsid w:val="00670F1F"/>
    <w:rsid w:val="006714B1"/>
    <w:rsid w:val="00671A03"/>
    <w:rsid w:val="00672C5E"/>
    <w:rsid w:val="00672D2D"/>
    <w:rsid w:val="00672EC2"/>
    <w:rsid w:val="00672EC7"/>
    <w:rsid w:val="006731C5"/>
    <w:rsid w:val="006734A7"/>
    <w:rsid w:val="00675BB7"/>
    <w:rsid w:val="00676DDB"/>
    <w:rsid w:val="00681462"/>
    <w:rsid w:val="00681AD7"/>
    <w:rsid w:val="00682EED"/>
    <w:rsid w:val="006833EF"/>
    <w:rsid w:val="00683B52"/>
    <w:rsid w:val="0068469E"/>
    <w:rsid w:val="006849C1"/>
    <w:rsid w:val="00684BB6"/>
    <w:rsid w:val="00685EDE"/>
    <w:rsid w:val="006864A2"/>
    <w:rsid w:val="0068767D"/>
    <w:rsid w:val="00687812"/>
    <w:rsid w:val="006915D2"/>
    <w:rsid w:val="006915DB"/>
    <w:rsid w:val="006925C8"/>
    <w:rsid w:val="0069622B"/>
    <w:rsid w:val="00696787"/>
    <w:rsid w:val="0069721D"/>
    <w:rsid w:val="006978C9"/>
    <w:rsid w:val="00697A33"/>
    <w:rsid w:val="006A06B5"/>
    <w:rsid w:val="006A2B7C"/>
    <w:rsid w:val="006A2BED"/>
    <w:rsid w:val="006A31DA"/>
    <w:rsid w:val="006A5834"/>
    <w:rsid w:val="006A7192"/>
    <w:rsid w:val="006A7BD0"/>
    <w:rsid w:val="006B23C6"/>
    <w:rsid w:val="006B262C"/>
    <w:rsid w:val="006B33C1"/>
    <w:rsid w:val="006B361A"/>
    <w:rsid w:val="006B3913"/>
    <w:rsid w:val="006B42F4"/>
    <w:rsid w:val="006B4467"/>
    <w:rsid w:val="006B4666"/>
    <w:rsid w:val="006B47B8"/>
    <w:rsid w:val="006B6730"/>
    <w:rsid w:val="006B760A"/>
    <w:rsid w:val="006B7671"/>
    <w:rsid w:val="006C21F3"/>
    <w:rsid w:val="006C2D41"/>
    <w:rsid w:val="006C4227"/>
    <w:rsid w:val="006C7846"/>
    <w:rsid w:val="006D0696"/>
    <w:rsid w:val="006D07D9"/>
    <w:rsid w:val="006D0D8C"/>
    <w:rsid w:val="006D1C00"/>
    <w:rsid w:val="006D295F"/>
    <w:rsid w:val="006D33E3"/>
    <w:rsid w:val="006D382A"/>
    <w:rsid w:val="006D3E22"/>
    <w:rsid w:val="006D43CD"/>
    <w:rsid w:val="006D692A"/>
    <w:rsid w:val="006E333E"/>
    <w:rsid w:val="006E3EDC"/>
    <w:rsid w:val="006E4198"/>
    <w:rsid w:val="006E51E6"/>
    <w:rsid w:val="006E5F92"/>
    <w:rsid w:val="006E6358"/>
    <w:rsid w:val="006E6A7F"/>
    <w:rsid w:val="006E6CC3"/>
    <w:rsid w:val="006E71D2"/>
    <w:rsid w:val="006F1366"/>
    <w:rsid w:val="006F2235"/>
    <w:rsid w:val="006F2BD7"/>
    <w:rsid w:val="006F327B"/>
    <w:rsid w:val="006F573C"/>
    <w:rsid w:val="00701312"/>
    <w:rsid w:val="0070245B"/>
    <w:rsid w:val="007024E5"/>
    <w:rsid w:val="0070421C"/>
    <w:rsid w:val="007047CF"/>
    <w:rsid w:val="0071305B"/>
    <w:rsid w:val="00713774"/>
    <w:rsid w:val="00714FE8"/>
    <w:rsid w:val="0071733D"/>
    <w:rsid w:val="00717DF3"/>
    <w:rsid w:val="00717F53"/>
    <w:rsid w:val="007202F4"/>
    <w:rsid w:val="007225E2"/>
    <w:rsid w:val="00723C4B"/>
    <w:rsid w:val="00724BBF"/>
    <w:rsid w:val="00725C62"/>
    <w:rsid w:val="00726876"/>
    <w:rsid w:val="00727877"/>
    <w:rsid w:val="00730B30"/>
    <w:rsid w:val="00732581"/>
    <w:rsid w:val="00733F1B"/>
    <w:rsid w:val="007343B4"/>
    <w:rsid w:val="00734A37"/>
    <w:rsid w:val="00735645"/>
    <w:rsid w:val="007356FE"/>
    <w:rsid w:val="00736291"/>
    <w:rsid w:val="00736B2A"/>
    <w:rsid w:val="00736B56"/>
    <w:rsid w:val="00736C9B"/>
    <w:rsid w:val="00741D1B"/>
    <w:rsid w:val="00741DD1"/>
    <w:rsid w:val="00742ABD"/>
    <w:rsid w:val="00743562"/>
    <w:rsid w:val="00745AED"/>
    <w:rsid w:val="00747F34"/>
    <w:rsid w:val="00751503"/>
    <w:rsid w:val="00751585"/>
    <w:rsid w:val="007516F8"/>
    <w:rsid w:val="007529AA"/>
    <w:rsid w:val="00756E53"/>
    <w:rsid w:val="007573AA"/>
    <w:rsid w:val="0076066C"/>
    <w:rsid w:val="007611DE"/>
    <w:rsid w:val="007621B0"/>
    <w:rsid w:val="007633B7"/>
    <w:rsid w:val="00763D5D"/>
    <w:rsid w:val="007645C9"/>
    <w:rsid w:val="007647ED"/>
    <w:rsid w:val="007648C6"/>
    <w:rsid w:val="00766E67"/>
    <w:rsid w:val="00767E8B"/>
    <w:rsid w:val="00770BAB"/>
    <w:rsid w:val="00770F56"/>
    <w:rsid w:val="007721FB"/>
    <w:rsid w:val="00772422"/>
    <w:rsid w:val="007729B3"/>
    <w:rsid w:val="00772E09"/>
    <w:rsid w:val="0077499A"/>
    <w:rsid w:val="00775DC9"/>
    <w:rsid w:val="007772EE"/>
    <w:rsid w:val="00777A7B"/>
    <w:rsid w:val="00777AD5"/>
    <w:rsid w:val="00781A2D"/>
    <w:rsid w:val="00781A97"/>
    <w:rsid w:val="00782546"/>
    <w:rsid w:val="0078368E"/>
    <w:rsid w:val="00785B24"/>
    <w:rsid w:val="00791D0B"/>
    <w:rsid w:val="0079329B"/>
    <w:rsid w:val="007944AB"/>
    <w:rsid w:val="007961F5"/>
    <w:rsid w:val="00796FFA"/>
    <w:rsid w:val="00797960"/>
    <w:rsid w:val="007A154C"/>
    <w:rsid w:val="007A170E"/>
    <w:rsid w:val="007A18C1"/>
    <w:rsid w:val="007A28D7"/>
    <w:rsid w:val="007A2AEE"/>
    <w:rsid w:val="007A39CD"/>
    <w:rsid w:val="007A4F42"/>
    <w:rsid w:val="007A5082"/>
    <w:rsid w:val="007A5910"/>
    <w:rsid w:val="007A7C45"/>
    <w:rsid w:val="007B089E"/>
    <w:rsid w:val="007B297F"/>
    <w:rsid w:val="007B31A7"/>
    <w:rsid w:val="007B35E9"/>
    <w:rsid w:val="007B47BD"/>
    <w:rsid w:val="007B5304"/>
    <w:rsid w:val="007B5D96"/>
    <w:rsid w:val="007B6F13"/>
    <w:rsid w:val="007B7DF6"/>
    <w:rsid w:val="007C0942"/>
    <w:rsid w:val="007C0A41"/>
    <w:rsid w:val="007C0ABC"/>
    <w:rsid w:val="007C162B"/>
    <w:rsid w:val="007C258B"/>
    <w:rsid w:val="007C5C2A"/>
    <w:rsid w:val="007C65D4"/>
    <w:rsid w:val="007C67FE"/>
    <w:rsid w:val="007C6858"/>
    <w:rsid w:val="007D0166"/>
    <w:rsid w:val="007D0325"/>
    <w:rsid w:val="007D04BC"/>
    <w:rsid w:val="007D145C"/>
    <w:rsid w:val="007D230E"/>
    <w:rsid w:val="007D231D"/>
    <w:rsid w:val="007D430D"/>
    <w:rsid w:val="007D537A"/>
    <w:rsid w:val="007D596B"/>
    <w:rsid w:val="007D691B"/>
    <w:rsid w:val="007D794F"/>
    <w:rsid w:val="007D7AB2"/>
    <w:rsid w:val="007E1356"/>
    <w:rsid w:val="007E1974"/>
    <w:rsid w:val="007E20F7"/>
    <w:rsid w:val="007E27FE"/>
    <w:rsid w:val="007E2B0C"/>
    <w:rsid w:val="007E2F99"/>
    <w:rsid w:val="007E2FC9"/>
    <w:rsid w:val="007E43AF"/>
    <w:rsid w:val="007E7CCB"/>
    <w:rsid w:val="007F12AE"/>
    <w:rsid w:val="007F1A71"/>
    <w:rsid w:val="007F1D7F"/>
    <w:rsid w:val="007F208C"/>
    <w:rsid w:val="007F2293"/>
    <w:rsid w:val="007F22B9"/>
    <w:rsid w:val="007F29E4"/>
    <w:rsid w:val="007F2F82"/>
    <w:rsid w:val="007F33DB"/>
    <w:rsid w:val="007F4D9C"/>
    <w:rsid w:val="007F50B1"/>
    <w:rsid w:val="007F646F"/>
    <w:rsid w:val="007F68B3"/>
    <w:rsid w:val="007F6A01"/>
    <w:rsid w:val="007F77D2"/>
    <w:rsid w:val="007F78B7"/>
    <w:rsid w:val="007F7CCE"/>
    <w:rsid w:val="0080007B"/>
    <w:rsid w:val="00801580"/>
    <w:rsid w:val="008033A1"/>
    <w:rsid w:val="00803955"/>
    <w:rsid w:val="008049D1"/>
    <w:rsid w:val="00804D53"/>
    <w:rsid w:val="008054C8"/>
    <w:rsid w:val="00805A47"/>
    <w:rsid w:val="00806509"/>
    <w:rsid w:val="0080726F"/>
    <w:rsid w:val="00807A01"/>
    <w:rsid w:val="0081099F"/>
    <w:rsid w:val="00811237"/>
    <w:rsid w:val="0081140A"/>
    <w:rsid w:val="00811550"/>
    <w:rsid w:val="00811F7B"/>
    <w:rsid w:val="00812E13"/>
    <w:rsid w:val="008140F6"/>
    <w:rsid w:val="00816B79"/>
    <w:rsid w:val="00817A09"/>
    <w:rsid w:val="00820BFB"/>
    <w:rsid w:val="008215BC"/>
    <w:rsid w:val="008222A1"/>
    <w:rsid w:val="00824468"/>
    <w:rsid w:val="00824630"/>
    <w:rsid w:val="00824955"/>
    <w:rsid w:val="0082510E"/>
    <w:rsid w:val="008274B9"/>
    <w:rsid w:val="00827581"/>
    <w:rsid w:val="00827E21"/>
    <w:rsid w:val="00830492"/>
    <w:rsid w:val="00832596"/>
    <w:rsid w:val="0083268E"/>
    <w:rsid w:val="008348D0"/>
    <w:rsid w:val="008348F2"/>
    <w:rsid w:val="00835005"/>
    <w:rsid w:val="00835FF2"/>
    <w:rsid w:val="00836E79"/>
    <w:rsid w:val="00837C85"/>
    <w:rsid w:val="00840165"/>
    <w:rsid w:val="008405B6"/>
    <w:rsid w:val="00840AFC"/>
    <w:rsid w:val="00842482"/>
    <w:rsid w:val="00842F7E"/>
    <w:rsid w:val="00846202"/>
    <w:rsid w:val="008466C0"/>
    <w:rsid w:val="00846E4F"/>
    <w:rsid w:val="0085121D"/>
    <w:rsid w:val="00853395"/>
    <w:rsid w:val="00853693"/>
    <w:rsid w:val="00854C7D"/>
    <w:rsid w:val="00855C7D"/>
    <w:rsid w:val="00857B22"/>
    <w:rsid w:val="00857D8F"/>
    <w:rsid w:val="0086124C"/>
    <w:rsid w:val="008616E6"/>
    <w:rsid w:val="00862B6D"/>
    <w:rsid w:val="00862D5F"/>
    <w:rsid w:val="0086331B"/>
    <w:rsid w:val="00864524"/>
    <w:rsid w:val="00865B0A"/>
    <w:rsid w:val="00867E79"/>
    <w:rsid w:val="00872164"/>
    <w:rsid w:val="00873CC1"/>
    <w:rsid w:val="00874540"/>
    <w:rsid w:val="00874A5A"/>
    <w:rsid w:val="00874ADF"/>
    <w:rsid w:val="00874EC4"/>
    <w:rsid w:val="008757A4"/>
    <w:rsid w:val="00875B79"/>
    <w:rsid w:val="00875E31"/>
    <w:rsid w:val="00876542"/>
    <w:rsid w:val="00877A99"/>
    <w:rsid w:val="00880609"/>
    <w:rsid w:val="0088236E"/>
    <w:rsid w:val="0088343B"/>
    <w:rsid w:val="008839C9"/>
    <w:rsid w:val="00883D74"/>
    <w:rsid w:val="00886CED"/>
    <w:rsid w:val="00892239"/>
    <w:rsid w:val="00892704"/>
    <w:rsid w:val="00893246"/>
    <w:rsid w:val="00894885"/>
    <w:rsid w:val="00895D63"/>
    <w:rsid w:val="00895E29"/>
    <w:rsid w:val="00896056"/>
    <w:rsid w:val="008960E2"/>
    <w:rsid w:val="00896667"/>
    <w:rsid w:val="00896869"/>
    <w:rsid w:val="00896A77"/>
    <w:rsid w:val="00896DA6"/>
    <w:rsid w:val="008970D1"/>
    <w:rsid w:val="008A04B7"/>
    <w:rsid w:val="008A0AF1"/>
    <w:rsid w:val="008A0BFF"/>
    <w:rsid w:val="008A2E33"/>
    <w:rsid w:val="008A49DD"/>
    <w:rsid w:val="008A4EE9"/>
    <w:rsid w:val="008A5EE0"/>
    <w:rsid w:val="008A5F73"/>
    <w:rsid w:val="008A790A"/>
    <w:rsid w:val="008B1A6D"/>
    <w:rsid w:val="008B2352"/>
    <w:rsid w:val="008B369F"/>
    <w:rsid w:val="008B4767"/>
    <w:rsid w:val="008C0184"/>
    <w:rsid w:val="008C2BDA"/>
    <w:rsid w:val="008C5177"/>
    <w:rsid w:val="008C6D36"/>
    <w:rsid w:val="008D2B51"/>
    <w:rsid w:val="008D6AF0"/>
    <w:rsid w:val="008D6F92"/>
    <w:rsid w:val="008E08A4"/>
    <w:rsid w:val="008E1BF6"/>
    <w:rsid w:val="008E29B5"/>
    <w:rsid w:val="008E2C4F"/>
    <w:rsid w:val="008E3146"/>
    <w:rsid w:val="008E3D2F"/>
    <w:rsid w:val="008E42A3"/>
    <w:rsid w:val="008E4808"/>
    <w:rsid w:val="008E57EF"/>
    <w:rsid w:val="008E74C6"/>
    <w:rsid w:val="008E7E59"/>
    <w:rsid w:val="008F0D79"/>
    <w:rsid w:val="008F1483"/>
    <w:rsid w:val="008F1C49"/>
    <w:rsid w:val="008F2360"/>
    <w:rsid w:val="008F2436"/>
    <w:rsid w:val="008F2B3C"/>
    <w:rsid w:val="008F3C14"/>
    <w:rsid w:val="008F3F84"/>
    <w:rsid w:val="008F41C1"/>
    <w:rsid w:val="008F440B"/>
    <w:rsid w:val="008F4C02"/>
    <w:rsid w:val="008F5D04"/>
    <w:rsid w:val="008F770D"/>
    <w:rsid w:val="00900211"/>
    <w:rsid w:val="00902811"/>
    <w:rsid w:val="009031DB"/>
    <w:rsid w:val="00904283"/>
    <w:rsid w:val="00905DBB"/>
    <w:rsid w:val="00910CD1"/>
    <w:rsid w:val="00911024"/>
    <w:rsid w:val="00911A0A"/>
    <w:rsid w:val="00911AF4"/>
    <w:rsid w:val="0091215E"/>
    <w:rsid w:val="009129F9"/>
    <w:rsid w:val="00912CAC"/>
    <w:rsid w:val="00913120"/>
    <w:rsid w:val="009146C0"/>
    <w:rsid w:val="00916349"/>
    <w:rsid w:val="00916F35"/>
    <w:rsid w:val="009172D2"/>
    <w:rsid w:val="00917FDB"/>
    <w:rsid w:val="00917FF4"/>
    <w:rsid w:val="00920251"/>
    <w:rsid w:val="0092352F"/>
    <w:rsid w:val="00923FD0"/>
    <w:rsid w:val="00924F7B"/>
    <w:rsid w:val="00926249"/>
    <w:rsid w:val="0093010D"/>
    <w:rsid w:val="00934625"/>
    <w:rsid w:val="009368BF"/>
    <w:rsid w:val="00937B18"/>
    <w:rsid w:val="00937DA8"/>
    <w:rsid w:val="00937EDC"/>
    <w:rsid w:val="009420BB"/>
    <w:rsid w:val="00943F46"/>
    <w:rsid w:val="0094690E"/>
    <w:rsid w:val="00950B55"/>
    <w:rsid w:val="009511B6"/>
    <w:rsid w:val="00952811"/>
    <w:rsid w:val="009535BB"/>
    <w:rsid w:val="00955C34"/>
    <w:rsid w:val="00956711"/>
    <w:rsid w:val="0095691A"/>
    <w:rsid w:val="009574DD"/>
    <w:rsid w:val="009600F5"/>
    <w:rsid w:val="009610F0"/>
    <w:rsid w:val="009615BE"/>
    <w:rsid w:val="0096174E"/>
    <w:rsid w:val="009629DB"/>
    <w:rsid w:val="00962C1C"/>
    <w:rsid w:val="009634A2"/>
    <w:rsid w:val="00966698"/>
    <w:rsid w:val="00967C9A"/>
    <w:rsid w:val="00970C22"/>
    <w:rsid w:val="00970F28"/>
    <w:rsid w:val="0097213E"/>
    <w:rsid w:val="00972580"/>
    <w:rsid w:val="009755A9"/>
    <w:rsid w:val="00975CCA"/>
    <w:rsid w:val="0097622F"/>
    <w:rsid w:val="00976992"/>
    <w:rsid w:val="00977307"/>
    <w:rsid w:val="00977BD5"/>
    <w:rsid w:val="00982C95"/>
    <w:rsid w:val="00984307"/>
    <w:rsid w:val="009853F5"/>
    <w:rsid w:val="00985969"/>
    <w:rsid w:val="00985DD2"/>
    <w:rsid w:val="009861D5"/>
    <w:rsid w:val="009868DB"/>
    <w:rsid w:val="00986A28"/>
    <w:rsid w:val="00987155"/>
    <w:rsid w:val="0099235E"/>
    <w:rsid w:val="00992D8D"/>
    <w:rsid w:val="00994BC1"/>
    <w:rsid w:val="00994BC6"/>
    <w:rsid w:val="00995D12"/>
    <w:rsid w:val="009967B4"/>
    <w:rsid w:val="00996806"/>
    <w:rsid w:val="00997209"/>
    <w:rsid w:val="009974EC"/>
    <w:rsid w:val="009975AA"/>
    <w:rsid w:val="009A0FE4"/>
    <w:rsid w:val="009A2271"/>
    <w:rsid w:val="009B07B9"/>
    <w:rsid w:val="009B1113"/>
    <w:rsid w:val="009B26A8"/>
    <w:rsid w:val="009B3049"/>
    <w:rsid w:val="009B339E"/>
    <w:rsid w:val="009C0E85"/>
    <w:rsid w:val="009C252E"/>
    <w:rsid w:val="009C26C8"/>
    <w:rsid w:val="009C332E"/>
    <w:rsid w:val="009C68B5"/>
    <w:rsid w:val="009D011D"/>
    <w:rsid w:val="009D09CA"/>
    <w:rsid w:val="009D2E56"/>
    <w:rsid w:val="009D2F8C"/>
    <w:rsid w:val="009D315C"/>
    <w:rsid w:val="009D3B42"/>
    <w:rsid w:val="009D4169"/>
    <w:rsid w:val="009D479A"/>
    <w:rsid w:val="009D6C87"/>
    <w:rsid w:val="009E0006"/>
    <w:rsid w:val="009E02BA"/>
    <w:rsid w:val="009E0514"/>
    <w:rsid w:val="009E1C5E"/>
    <w:rsid w:val="009E214B"/>
    <w:rsid w:val="009E3070"/>
    <w:rsid w:val="009E3A27"/>
    <w:rsid w:val="009E40D2"/>
    <w:rsid w:val="009E4766"/>
    <w:rsid w:val="009E4A74"/>
    <w:rsid w:val="009E4CDA"/>
    <w:rsid w:val="009E70A2"/>
    <w:rsid w:val="009E7C9C"/>
    <w:rsid w:val="009F0815"/>
    <w:rsid w:val="009F0A9A"/>
    <w:rsid w:val="009F248A"/>
    <w:rsid w:val="009F44C4"/>
    <w:rsid w:val="009F59CC"/>
    <w:rsid w:val="009F7214"/>
    <w:rsid w:val="00A003FB"/>
    <w:rsid w:val="00A00DA6"/>
    <w:rsid w:val="00A019E5"/>
    <w:rsid w:val="00A03E6A"/>
    <w:rsid w:val="00A04648"/>
    <w:rsid w:val="00A05981"/>
    <w:rsid w:val="00A07284"/>
    <w:rsid w:val="00A1067E"/>
    <w:rsid w:val="00A10F27"/>
    <w:rsid w:val="00A1133A"/>
    <w:rsid w:val="00A1197E"/>
    <w:rsid w:val="00A11A19"/>
    <w:rsid w:val="00A11B63"/>
    <w:rsid w:val="00A11F28"/>
    <w:rsid w:val="00A132BE"/>
    <w:rsid w:val="00A1337C"/>
    <w:rsid w:val="00A138DB"/>
    <w:rsid w:val="00A16488"/>
    <w:rsid w:val="00A16FF9"/>
    <w:rsid w:val="00A17991"/>
    <w:rsid w:val="00A17A11"/>
    <w:rsid w:val="00A17E25"/>
    <w:rsid w:val="00A20B9D"/>
    <w:rsid w:val="00A21128"/>
    <w:rsid w:val="00A21C6E"/>
    <w:rsid w:val="00A21D0D"/>
    <w:rsid w:val="00A22145"/>
    <w:rsid w:val="00A228FC"/>
    <w:rsid w:val="00A2362E"/>
    <w:rsid w:val="00A24DF2"/>
    <w:rsid w:val="00A24F44"/>
    <w:rsid w:val="00A250F7"/>
    <w:rsid w:val="00A264A8"/>
    <w:rsid w:val="00A26B08"/>
    <w:rsid w:val="00A26CD5"/>
    <w:rsid w:val="00A26F22"/>
    <w:rsid w:val="00A26F2C"/>
    <w:rsid w:val="00A279FE"/>
    <w:rsid w:val="00A35199"/>
    <w:rsid w:val="00A35327"/>
    <w:rsid w:val="00A415FA"/>
    <w:rsid w:val="00A454FF"/>
    <w:rsid w:val="00A45B71"/>
    <w:rsid w:val="00A47101"/>
    <w:rsid w:val="00A51648"/>
    <w:rsid w:val="00A521B1"/>
    <w:rsid w:val="00A52676"/>
    <w:rsid w:val="00A52F37"/>
    <w:rsid w:val="00A531F8"/>
    <w:rsid w:val="00A5458F"/>
    <w:rsid w:val="00A55843"/>
    <w:rsid w:val="00A55C8F"/>
    <w:rsid w:val="00A570C7"/>
    <w:rsid w:val="00A6068E"/>
    <w:rsid w:val="00A60F1E"/>
    <w:rsid w:val="00A63192"/>
    <w:rsid w:val="00A63616"/>
    <w:rsid w:val="00A66AA4"/>
    <w:rsid w:val="00A674FC"/>
    <w:rsid w:val="00A675C2"/>
    <w:rsid w:val="00A678B6"/>
    <w:rsid w:val="00A67EF6"/>
    <w:rsid w:val="00A70144"/>
    <w:rsid w:val="00A70D53"/>
    <w:rsid w:val="00A71A3B"/>
    <w:rsid w:val="00A726FB"/>
    <w:rsid w:val="00A72EAC"/>
    <w:rsid w:val="00A75D83"/>
    <w:rsid w:val="00A76476"/>
    <w:rsid w:val="00A77279"/>
    <w:rsid w:val="00A7731B"/>
    <w:rsid w:val="00A77877"/>
    <w:rsid w:val="00A77F78"/>
    <w:rsid w:val="00A8053D"/>
    <w:rsid w:val="00A84125"/>
    <w:rsid w:val="00A85292"/>
    <w:rsid w:val="00A8680D"/>
    <w:rsid w:val="00A86912"/>
    <w:rsid w:val="00A86DBC"/>
    <w:rsid w:val="00A86E7A"/>
    <w:rsid w:val="00A86EF3"/>
    <w:rsid w:val="00A8761F"/>
    <w:rsid w:val="00A90508"/>
    <w:rsid w:val="00A90DF8"/>
    <w:rsid w:val="00A929ED"/>
    <w:rsid w:val="00A93672"/>
    <w:rsid w:val="00A94464"/>
    <w:rsid w:val="00A9470C"/>
    <w:rsid w:val="00A94997"/>
    <w:rsid w:val="00A94EDE"/>
    <w:rsid w:val="00A94F94"/>
    <w:rsid w:val="00A964DC"/>
    <w:rsid w:val="00A97E36"/>
    <w:rsid w:val="00AA02C6"/>
    <w:rsid w:val="00AA0658"/>
    <w:rsid w:val="00AA0A03"/>
    <w:rsid w:val="00AA46D1"/>
    <w:rsid w:val="00AA4C33"/>
    <w:rsid w:val="00AA5312"/>
    <w:rsid w:val="00AA5441"/>
    <w:rsid w:val="00AA56B9"/>
    <w:rsid w:val="00AA5C41"/>
    <w:rsid w:val="00AA7253"/>
    <w:rsid w:val="00AA7DB4"/>
    <w:rsid w:val="00AB2241"/>
    <w:rsid w:val="00AB252E"/>
    <w:rsid w:val="00AB40D6"/>
    <w:rsid w:val="00AB448E"/>
    <w:rsid w:val="00AB44A5"/>
    <w:rsid w:val="00AB4A20"/>
    <w:rsid w:val="00AB4B0A"/>
    <w:rsid w:val="00AB6C9E"/>
    <w:rsid w:val="00AB7111"/>
    <w:rsid w:val="00AC05DC"/>
    <w:rsid w:val="00AC08EF"/>
    <w:rsid w:val="00AC0A83"/>
    <w:rsid w:val="00AC1000"/>
    <w:rsid w:val="00AC1934"/>
    <w:rsid w:val="00AC1D87"/>
    <w:rsid w:val="00AC3310"/>
    <w:rsid w:val="00AC3CBD"/>
    <w:rsid w:val="00AC4ACF"/>
    <w:rsid w:val="00AC79DE"/>
    <w:rsid w:val="00AD1E58"/>
    <w:rsid w:val="00AD390F"/>
    <w:rsid w:val="00AD3A28"/>
    <w:rsid w:val="00AD4ABD"/>
    <w:rsid w:val="00AD5BA9"/>
    <w:rsid w:val="00AD667A"/>
    <w:rsid w:val="00AD6C47"/>
    <w:rsid w:val="00AD7D81"/>
    <w:rsid w:val="00AE03C0"/>
    <w:rsid w:val="00AE18F4"/>
    <w:rsid w:val="00AE243E"/>
    <w:rsid w:val="00AE3AE3"/>
    <w:rsid w:val="00AE4E48"/>
    <w:rsid w:val="00AE5381"/>
    <w:rsid w:val="00AF022E"/>
    <w:rsid w:val="00AF0965"/>
    <w:rsid w:val="00AF1936"/>
    <w:rsid w:val="00AF19EB"/>
    <w:rsid w:val="00AF2845"/>
    <w:rsid w:val="00AF2DAF"/>
    <w:rsid w:val="00AF3077"/>
    <w:rsid w:val="00AF3947"/>
    <w:rsid w:val="00AF3AD8"/>
    <w:rsid w:val="00AF406A"/>
    <w:rsid w:val="00AF53C5"/>
    <w:rsid w:val="00AF74EE"/>
    <w:rsid w:val="00B0086D"/>
    <w:rsid w:val="00B04CC3"/>
    <w:rsid w:val="00B0544A"/>
    <w:rsid w:val="00B06964"/>
    <w:rsid w:val="00B1070A"/>
    <w:rsid w:val="00B10E98"/>
    <w:rsid w:val="00B11500"/>
    <w:rsid w:val="00B12F79"/>
    <w:rsid w:val="00B1314C"/>
    <w:rsid w:val="00B17F72"/>
    <w:rsid w:val="00B207B0"/>
    <w:rsid w:val="00B2087B"/>
    <w:rsid w:val="00B20E5A"/>
    <w:rsid w:val="00B2348C"/>
    <w:rsid w:val="00B2456F"/>
    <w:rsid w:val="00B26B4C"/>
    <w:rsid w:val="00B311E9"/>
    <w:rsid w:val="00B31EEB"/>
    <w:rsid w:val="00B338C5"/>
    <w:rsid w:val="00B3464E"/>
    <w:rsid w:val="00B35063"/>
    <w:rsid w:val="00B3776A"/>
    <w:rsid w:val="00B379BB"/>
    <w:rsid w:val="00B37C9E"/>
    <w:rsid w:val="00B40A1B"/>
    <w:rsid w:val="00B411DA"/>
    <w:rsid w:val="00B41294"/>
    <w:rsid w:val="00B41A74"/>
    <w:rsid w:val="00B41AE4"/>
    <w:rsid w:val="00B43E09"/>
    <w:rsid w:val="00B460B1"/>
    <w:rsid w:val="00B46E91"/>
    <w:rsid w:val="00B47AA1"/>
    <w:rsid w:val="00B504EA"/>
    <w:rsid w:val="00B50D8A"/>
    <w:rsid w:val="00B524A3"/>
    <w:rsid w:val="00B533F1"/>
    <w:rsid w:val="00B53927"/>
    <w:rsid w:val="00B53C75"/>
    <w:rsid w:val="00B53DED"/>
    <w:rsid w:val="00B55146"/>
    <w:rsid w:val="00B556C2"/>
    <w:rsid w:val="00B5685C"/>
    <w:rsid w:val="00B5723F"/>
    <w:rsid w:val="00B60421"/>
    <w:rsid w:val="00B611A2"/>
    <w:rsid w:val="00B6183C"/>
    <w:rsid w:val="00B632B1"/>
    <w:rsid w:val="00B638D6"/>
    <w:rsid w:val="00B65495"/>
    <w:rsid w:val="00B65FB7"/>
    <w:rsid w:val="00B6617A"/>
    <w:rsid w:val="00B66DD7"/>
    <w:rsid w:val="00B70ABF"/>
    <w:rsid w:val="00B7156D"/>
    <w:rsid w:val="00B721A8"/>
    <w:rsid w:val="00B72C32"/>
    <w:rsid w:val="00B73BED"/>
    <w:rsid w:val="00B73CA8"/>
    <w:rsid w:val="00B73CC8"/>
    <w:rsid w:val="00B74184"/>
    <w:rsid w:val="00B75A68"/>
    <w:rsid w:val="00B768A5"/>
    <w:rsid w:val="00B77E5E"/>
    <w:rsid w:val="00B8079F"/>
    <w:rsid w:val="00B82208"/>
    <w:rsid w:val="00B82452"/>
    <w:rsid w:val="00B83CAD"/>
    <w:rsid w:val="00B85091"/>
    <w:rsid w:val="00B8565E"/>
    <w:rsid w:val="00B860D5"/>
    <w:rsid w:val="00B86281"/>
    <w:rsid w:val="00B877EF"/>
    <w:rsid w:val="00B90787"/>
    <w:rsid w:val="00B91704"/>
    <w:rsid w:val="00B9183E"/>
    <w:rsid w:val="00B92121"/>
    <w:rsid w:val="00B92A61"/>
    <w:rsid w:val="00B932E6"/>
    <w:rsid w:val="00B941DB"/>
    <w:rsid w:val="00B94C68"/>
    <w:rsid w:val="00B977BE"/>
    <w:rsid w:val="00BA091C"/>
    <w:rsid w:val="00BA18A5"/>
    <w:rsid w:val="00BA23C4"/>
    <w:rsid w:val="00BA28F2"/>
    <w:rsid w:val="00BA3010"/>
    <w:rsid w:val="00BA665A"/>
    <w:rsid w:val="00BA779A"/>
    <w:rsid w:val="00BA7865"/>
    <w:rsid w:val="00BB1E95"/>
    <w:rsid w:val="00BB20B5"/>
    <w:rsid w:val="00BB3B30"/>
    <w:rsid w:val="00BB43B3"/>
    <w:rsid w:val="00BB52DC"/>
    <w:rsid w:val="00BB5AC3"/>
    <w:rsid w:val="00BB6197"/>
    <w:rsid w:val="00BB791B"/>
    <w:rsid w:val="00BC006D"/>
    <w:rsid w:val="00BC07B4"/>
    <w:rsid w:val="00BC0A71"/>
    <w:rsid w:val="00BC298E"/>
    <w:rsid w:val="00BC350B"/>
    <w:rsid w:val="00BC3D63"/>
    <w:rsid w:val="00BC43E9"/>
    <w:rsid w:val="00BC4F31"/>
    <w:rsid w:val="00BC507D"/>
    <w:rsid w:val="00BC5420"/>
    <w:rsid w:val="00BC54B7"/>
    <w:rsid w:val="00BC5F79"/>
    <w:rsid w:val="00BC7971"/>
    <w:rsid w:val="00BD04EE"/>
    <w:rsid w:val="00BD0B9B"/>
    <w:rsid w:val="00BD2213"/>
    <w:rsid w:val="00BD2889"/>
    <w:rsid w:val="00BD2E06"/>
    <w:rsid w:val="00BD35CF"/>
    <w:rsid w:val="00BD662C"/>
    <w:rsid w:val="00BD7385"/>
    <w:rsid w:val="00BD7B5B"/>
    <w:rsid w:val="00BE00FE"/>
    <w:rsid w:val="00BE3948"/>
    <w:rsid w:val="00BE4001"/>
    <w:rsid w:val="00BE4653"/>
    <w:rsid w:val="00BE4D70"/>
    <w:rsid w:val="00BE5B44"/>
    <w:rsid w:val="00BE610B"/>
    <w:rsid w:val="00BE72B7"/>
    <w:rsid w:val="00BE7533"/>
    <w:rsid w:val="00BE7FB5"/>
    <w:rsid w:val="00BF0E0D"/>
    <w:rsid w:val="00BF2323"/>
    <w:rsid w:val="00BF2AC1"/>
    <w:rsid w:val="00BF3140"/>
    <w:rsid w:val="00BF433E"/>
    <w:rsid w:val="00BF60D7"/>
    <w:rsid w:val="00BF6CA0"/>
    <w:rsid w:val="00BF6D8C"/>
    <w:rsid w:val="00BF7C8B"/>
    <w:rsid w:val="00C0142E"/>
    <w:rsid w:val="00C01800"/>
    <w:rsid w:val="00C05144"/>
    <w:rsid w:val="00C05B31"/>
    <w:rsid w:val="00C10686"/>
    <w:rsid w:val="00C10957"/>
    <w:rsid w:val="00C109C3"/>
    <w:rsid w:val="00C11BB5"/>
    <w:rsid w:val="00C122DB"/>
    <w:rsid w:val="00C136D9"/>
    <w:rsid w:val="00C15464"/>
    <w:rsid w:val="00C163FA"/>
    <w:rsid w:val="00C17926"/>
    <w:rsid w:val="00C17B5B"/>
    <w:rsid w:val="00C20424"/>
    <w:rsid w:val="00C23D62"/>
    <w:rsid w:val="00C308EB"/>
    <w:rsid w:val="00C310C7"/>
    <w:rsid w:val="00C31776"/>
    <w:rsid w:val="00C323E4"/>
    <w:rsid w:val="00C33E97"/>
    <w:rsid w:val="00C342DF"/>
    <w:rsid w:val="00C34E5E"/>
    <w:rsid w:val="00C35F43"/>
    <w:rsid w:val="00C36890"/>
    <w:rsid w:val="00C36E3E"/>
    <w:rsid w:val="00C37DAD"/>
    <w:rsid w:val="00C405CD"/>
    <w:rsid w:val="00C40F43"/>
    <w:rsid w:val="00C41341"/>
    <w:rsid w:val="00C4149B"/>
    <w:rsid w:val="00C430F7"/>
    <w:rsid w:val="00C4387C"/>
    <w:rsid w:val="00C44647"/>
    <w:rsid w:val="00C455BE"/>
    <w:rsid w:val="00C471A9"/>
    <w:rsid w:val="00C47577"/>
    <w:rsid w:val="00C4766A"/>
    <w:rsid w:val="00C50511"/>
    <w:rsid w:val="00C51816"/>
    <w:rsid w:val="00C53256"/>
    <w:rsid w:val="00C5474F"/>
    <w:rsid w:val="00C55570"/>
    <w:rsid w:val="00C60DAF"/>
    <w:rsid w:val="00C60F31"/>
    <w:rsid w:val="00C638B8"/>
    <w:rsid w:val="00C6530E"/>
    <w:rsid w:val="00C6733F"/>
    <w:rsid w:val="00C67815"/>
    <w:rsid w:val="00C67956"/>
    <w:rsid w:val="00C67A7F"/>
    <w:rsid w:val="00C72180"/>
    <w:rsid w:val="00C72816"/>
    <w:rsid w:val="00C7457A"/>
    <w:rsid w:val="00C74A62"/>
    <w:rsid w:val="00C76188"/>
    <w:rsid w:val="00C8112A"/>
    <w:rsid w:val="00C81E97"/>
    <w:rsid w:val="00C83552"/>
    <w:rsid w:val="00C84BE1"/>
    <w:rsid w:val="00C866C1"/>
    <w:rsid w:val="00C87142"/>
    <w:rsid w:val="00C87D90"/>
    <w:rsid w:val="00C90A23"/>
    <w:rsid w:val="00C910BE"/>
    <w:rsid w:val="00C9164F"/>
    <w:rsid w:val="00C916F5"/>
    <w:rsid w:val="00C926A2"/>
    <w:rsid w:val="00C940FF"/>
    <w:rsid w:val="00C94500"/>
    <w:rsid w:val="00C952B4"/>
    <w:rsid w:val="00C9535F"/>
    <w:rsid w:val="00C95D0F"/>
    <w:rsid w:val="00CA0618"/>
    <w:rsid w:val="00CA1497"/>
    <w:rsid w:val="00CA287F"/>
    <w:rsid w:val="00CA2AD2"/>
    <w:rsid w:val="00CA2CB9"/>
    <w:rsid w:val="00CA303F"/>
    <w:rsid w:val="00CA30DC"/>
    <w:rsid w:val="00CA42CD"/>
    <w:rsid w:val="00CA4934"/>
    <w:rsid w:val="00CA4EC8"/>
    <w:rsid w:val="00CA551A"/>
    <w:rsid w:val="00CA5A87"/>
    <w:rsid w:val="00CA6086"/>
    <w:rsid w:val="00CA6525"/>
    <w:rsid w:val="00CA6D68"/>
    <w:rsid w:val="00CA7C17"/>
    <w:rsid w:val="00CB0165"/>
    <w:rsid w:val="00CB2381"/>
    <w:rsid w:val="00CB2423"/>
    <w:rsid w:val="00CB3BB7"/>
    <w:rsid w:val="00CB415B"/>
    <w:rsid w:val="00CB4277"/>
    <w:rsid w:val="00CB5305"/>
    <w:rsid w:val="00CB5A27"/>
    <w:rsid w:val="00CB6293"/>
    <w:rsid w:val="00CB7625"/>
    <w:rsid w:val="00CC0368"/>
    <w:rsid w:val="00CC0458"/>
    <w:rsid w:val="00CC0BD4"/>
    <w:rsid w:val="00CC313B"/>
    <w:rsid w:val="00CC3309"/>
    <w:rsid w:val="00CC5F4A"/>
    <w:rsid w:val="00CC6484"/>
    <w:rsid w:val="00CC6D01"/>
    <w:rsid w:val="00CD21BF"/>
    <w:rsid w:val="00CD2BC4"/>
    <w:rsid w:val="00CD2F1A"/>
    <w:rsid w:val="00CD368E"/>
    <w:rsid w:val="00CD5052"/>
    <w:rsid w:val="00CD7201"/>
    <w:rsid w:val="00CD7E10"/>
    <w:rsid w:val="00CE17A8"/>
    <w:rsid w:val="00CE2E77"/>
    <w:rsid w:val="00CE310B"/>
    <w:rsid w:val="00CE3362"/>
    <w:rsid w:val="00CE41FE"/>
    <w:rsid w:val="00CE4649"/>
    <w:rsid w:val="00CE4C5F"/>
    <w:rsid w:val="00CE5391"/>
    <w:rsid w:val="00CE59FC"/>
    <w:rsid w:val="00CE5D1E"/>
    <w:rsid w:val="00CE7008"/>
    <w:rsid w:val="00CF1A33"/>
    <w:rsid w:val="00CF1EA0"/>
    <w:rsid w:val="00CF211C"/>
    <w:rsid w:val="00CF2A6B"/>
    <w:rsid w:val="00CF3172"/>
    <w:rsid w:val="00CF32D5"/>
    <w:rsid w:val="00CF3BE7"/>
    <w:rsid w:val="00CF5E71"/>
    <w:rsid w:val="00D001BE"/>
    <w:rsid w:val="00D01EA2"/>
    <w:rsid w:val="00D04F9F"/>
    <w:rsid w:val="00D05823"/>
    <w:rsid w:val="00D109EE"/>
    <w:rsid w:val="00D118CE"/>
    <w:rsid w:val="00D1232E"/>
    <w:rsid w:val="00D130F8"/>
    <w:rsid w:val="00D1389E"/>
    <w:rsid w:val="00D1434F"/>
    <w:rsid w:val="00D14A42"/>
    <w:rsid w:val="00D156EF"/>
    <w:rsid w:val="00D15C27"/>
    <w:rsid w:val="00D15D3D"/>
    <w:rsid w:val="00D20EBA"/>
    <w:rsid w:val="00D24148"/>
    <w:rsid w:val="00D243A5"/>
    <w:rsid w:val="00D248D5"/>
    <w:rsid w:val="00D2499C"/>
    <w:rsid w:val="00D24B97"/>
    <w:rsid w:val="00D312D5"/>
    <w:rsid w:val="00D31AC7"/>
    <w:rsid w:val="00D32E10"/>
    <w:rsid w:val="00D3361C"/>
    <w:rsid w:val="00D33E6A"/>
    <w:rsid w:val="00D34E3C"/>
    <w:rsid w:val="00D36B0D"/>
    <w:rsid w:val="00D36F47"/>
    <w:rsid w:val="00D40092"/>
    <w:rsid w:val="00D400B6"/>
    <w:rsid w:val="00D40553"/>
    <w:rsid w:val="00D41054"/>
    <w:rsid w:val="00D429B7"/>
    <w:rsid w:val="00D430B2"/>
    <w:rsid w:val="00D44F53"/>
    <w:rsid w:val="00D45975"/>
    <w:rsid w:val="00D479D7"/>
    <w:rsid w:val="00D5042F"/>
    <w:rsid w:val="00D50B0D"/>
    <w:rsid w:val="00D50C17"/>
    <w:rsid w:val="00D51365"/>
    <w:rsid w:val="00D51707"/>
    <w:rsid w:val="00D5216D"/>
    <w:rsid w:val="00D53415"/>
    <w:rsid w:val="00D55CA7"/>
    <w:rsid w:val="00D56625"/>
    <w:rsid w:val="00D56EC8"/>
    <w:rsid w:val="00D5720A"/>
    <w:rsid w:val="00D574A9"/>
    <w:rsid w:val="00D57560"/>
    <w:rsid w:val="00D641C7"/>
    <w:rsid w:val="00D64E48"/>
    <w:rsid w:val="00D6553C"/>
    <w:rsid w:val="00D65F3F"/>
    <w:rsid w:val="00D67876"/>
    <w:rsid w:val="00D67C71"/>
    <w:rsid w:val="00D7095C"/>
    <w:rsid w:val="00D71B5F"/>
    <w:rsid w:val="00D74B98"/>
    <w:rsid w:val="00D76F07"/>
    <w:rsid w:val="00D7771E"/>
    <w:rsid w:val="00D81C73"/>
    <w:rsid w:val="00D82306"/>
    <w:rsid w:val="00D83B9B"/>
    <w:rsid w:val="00D8429C"/>
    <w:rsid w:val="00D86764"/>
    <w:rsid w:val="00D86E79"/>
    <w:rsid w:val="00D86F34"/>
    <w:rsid w:val="00D873FF"/>
    <w:rsid w:val="00D87658"/>
    <w:rsid w:val="00D87676"/>
    <w:rsid w:val="00D90316"/>
    <w:rsid w:val="00D90387"/>
    <w:rsid w:val="00D91B14"/>
    <w:rsid w:val="00D92E32"/>
    <w:rsid w:val="00D93165"/>
    <w:rsid w:val="00D9447F"/>
    <w:rsid w:val="00D95FAC"/>
    <w:rsid w:val="00D96850"/>
    <w:rsid w:val="00D975AC"/>
    <w:rsid w:val="00D9778D"/>
    <w:rsid w:val="00DA1520"/>
    <w:rsid w:val="00DA17A2"/>
    <w:rsid w:val="00DA1E87"/>
    <w:rsid w:val="00DA2EF5"/>
    <w:rsid w:val="00DA4300"/>
    <w:rsid w:val="00DA58BB"/>
    <w:rsid w:val="00DA7C48"/>
    <w:rsid w:val="00DB11FF"/>
    <w:rsid w:val="00DB1203"/>
    <w:rsid w:val="00DB1E82"/>
    <w:rsid w:val="00DB47A1"/>
    <w:rsid w:val="00DB4CFF"/>
    <w:rsid w:val="00DB562F"/>
    <w:rsid w:val="00DB57BC"/>
    <w:rsid w:val="00DB5C39"/>
    <w:rsid w:val="00DC08C3"/>
    <w:rsid w:val="00DC092F"/>
    <w:rsid w:val="00DC1B91"/>
    <w:rsid w:val="00DC24D4"/>
    <w:rsid w:val="00DC2A37"/>
    <w:rsid w:val="00DC2F1C"/>
    <w:rsid w:val="00DC31D5"/>
    <w:rsid w:val="00DC3C60"/>
    <w:rsid w:val="00DC3D3D"/>
    <w:rsid w:val="00DC434F"/>
    <w:rsid w:val="00DC468E"/>
    <w:rsid w:val="00DC58AB"/>
    <w:rsid w:val="00DC64A5"/>
    <w:rsid w:val="00DC65A5"/>
    <w:rsid w:val="00DC7F9E"/>
    <w:rsid w:val="00DD0ABB"/>
    <w:rsid w:val="00DD1FED"/>
    <w:rsid w:val="00DD2456"/>
    <w:rsid w:val="00DD254C"/>
    <w:rsid w:val="00DD36FC"/>
    <w:rsid w:val="00DD3C96"/>
    <w:rsid w:val="00DD49F2"/>
    <w:rsid w:val="00DD575E"/>
    <w:rsid w:val="00DE0E9B"/>
    <w:rsid w:val="00DE433D"/>
    <w:rsid w:val="00DE4F80"/>
    <w:rsid w:val="00DE7193"/>
    <w:rsid w:val="00DF0CC4"/>
    <w:rsid w:val="00DF1013"/>
    <w:rsid w:val="00DF1B8F"/>
    <w:rsid w:val="00DF207A"/>
    <w:rsid w:val="00DF538E"/>
    <w:rsid w:val="00DF5474"/>
    <w:rsid w:val="00DF5650"/>
    <w:rsid w:val="00DF69FB"/>
    <w:rsid w:val="00DF79AE"/>
    <w:rsid w:val="00DF7FC3"/>
    <w:rsid w:val="00E012A9"/>
    <w:rsid w:val="00E03705"/>
    <w:rsid w:val="00E03C6F"/>
    <w:rsid w:val="00E04532"/>
    <w:rsid w:val="00E05CC8"/>
    <w:rsid w:val="00E065EF"/>
    <w:rsid w:val="00E06EEB"/>
    <w:rsid w:val="00E10428"/>
    <w:rsid w:val="00E1266F"/>
    <w:rsid w:val="00E1342E"/>
    <w:rsid w:val="00E16301"/>
    <w:rsid w:val="00E1728D"/>
    <w:rsid w:val="00E210B4"/>
    <w:rsid w:val="00E21E86"/>
    <w:rsid w:val="00E23EE1"/>
    <w:rsid w:val="00E25186"/>
    <w:rsid w:val="00E26566"/>
    <w:rsid w:val="00E27195"/>
    <w:rsid w:val="00E312EB"/>
    <w:rsid w:val="00E31C7B"/>
    <w:rsid w:val="00E31E5E"/>
    <w:rsid w:val="00E31F85"/>
    <w:rsid w:val="00E332C5"/>
    <w:rsid w:val="00E33505"/>
    <w:rsid w:val="00E33682"/>
    <w:rsid w:val="00E34086"/>
    <w:rsid w:val="00E362E9"/>
    <w:rsid w:val="00E4089E"/>
    <w:rsid w:val="00E41D3B"/>
    <w:rsid w:val="00E42173"/>
    <w:rsid w:val="00E43A95"/>
    <w:rsid w:val="00E450E1"/>
    <w:rsid w:val="00E45E6E"/>
    <w:rsid w:val="00E478F4"/>
    <w:rsid w:val="00E50F9B"/>
    <w:rsid w:val="00E52BD8"/>
    <w:rsid w:val="00E534C0"/>
    <w:rsid w:val="00E53E6D"/>
    <w:rsid w:val="00E55151"/>
    <w:rsid w:val="00E55298"/>
    <w:rsid w:val="00E5533E"/>
    <w:rsid w:val="00E55651"/>
    <w:rsid w:val="00E61989"/>
    <w:rsid w:val="00E619C6"/>
    <w:rsid w:val="00E63BB5"/>
    <w:rsid w:val="00E63D41"/>
    <w:rsid w:val="00E63E7D"/>
    <w:rsid w:val="00E64485"/>
    <w:rsid w:val="00E668BA"/>
    <w:rsid w:val="00E67A5D"/>
    <w:rsid w:val="00E7085B"/>
    <w:rsid w:val="00E71098"/>
    <w:rsid w:val="00E71C71"/>
    <w:rsid w:val="00E71D1A"/>
    <w:rsid w:val="00E735C2"/>
    <w:rsid w:val="00E75568"/>
    <w:rsid w:val="00E75648"/>
    <w:rsid w:val="00E75A81"/>
    <w:rsid w:val="00E75EF4"/>
    <w:rsid w:val="00E7645C"/>
    <w:rsid w:val="00E76498"/>
    <w:rsid w:val="00E77A0A"/>
    <w:rsid w:val="00E77E7D"/>
    <w:rsid w:val="00E80406"/>
    <w:rsid w:val="00E805B7"/>
    <w:rsid w:val="00E825DA"/>
    <w:rsid w:val="00E842E2"/>
    <w:rsid w:val="00E847A9"/>
    <w:rsid w:val="00E87390"/>
    <w:rsid w:val="00E90B40"/>
    <w:rsid w:val="00E91105"/>
    <w:rsid w:val="00E914D2"/>
    <w:rsid w:val="00E91BD5"/>
    <w:rsid w:val="00E91C27"/>
    <w:rsid w:val="00E91D3A"/>
    <w:rsid w:val="00E91EFC"/>
    <w:rsid w:val="00E929F4"/>
    <w:rsid w:val="00E933B3"/>
    <w:rsid w:val="00E940BA"/>
    <w:rsid w:val="00E9514E"/>
    <w:rsid w:val="00E9620F"/>
    <w:rsid w:val="00E97518"/>
    <w:rsid w:val="00EA0D40"/>
    <w:rsid w:val="00EA0DA2"/>
    <w:rsid w:val="00EA2587"/>
    <w:rsid w:val="00EA3149"/>
    <w:rsid w:val="00EA34AD"/>
    <w:rsid w:val="00EA3676"/>
    <w:rsid w:val="00EA58AB"/>
    <w:rsid w:val="00EA69C5"/>
    <w:rsid w:val="00EB0322"/>
    <w:rsid w:val="00EB328E"/>
    <w:rsid w:val="00EB4177"/>
    <w:rsid w:val="00EB53F4"/>
    <w:rsid w:val="00EB6146"/>
    <w:rsid w:val="00EB6BAB"/>
    <w:rsid w:val="00EC0E03"/>
    <w:rsid w:val="00EC0EB9"/>
    <w:rsid w:val="00EC179F"/>
    <w:rsid w:val="00EC1BEB"/>
    <w:rsid w:val="00EC3136"/>
    <w:rsid w:val="00EC4758"/>
    <w:rsid w:val="00EC5435"/>
    <w:rsid w:val="00EC5719"/>
    <w:rsid w:val="00EC69B1"/>
    <w:rsid w:val="00EC73CB"/>
    <w:rsid w:val="00EC78F8"/>
    <w:rsid w:val="00ED0970"/>
    <w:rsid w:val="00ED13F0"/>
    <w:rsid w:val="00ED172C"/>
    <w:rsid w:val="00ED1A7B"/>
    <w:rsid w:val="00ED1A8A"/>
    <w:rsid w:val="00ED24E7"/>
    <w:rsid w:val="00ED2D09"/>
    <w:rsid w:val="00ED3AE7"/>
    <w:rsid w:val="00ED5B18"/>
    <w:rsid w:val="00ED7DD9"/>
    <w:rsid w:val="00EE0BCC"/>
    <w:rsid w:val="00EE1C0F"/>
    <w:rsid w:val="00EE3CB6"/>
    <w:rsid w:val="00EE41E2"/>
    <w:rsid w:val="00EE461E"/>
    <w:rsid w:val="00EE4B6D"/>
    <w:rsid w:val="00EE5B5F"/>
    <w:rsid w:val="00EE7B21"/>
    <w:rsid w:val="00EF01D1"/>
    <w:rsid w:val="00EF373C"/>
    <w:rsid w:val="00EF6706"/>
    <w:rsid w:val="00EF75A6"/>
    <w:rsid w:val="00EF7C8E"/>
    <w:rsid w:val="00F01B1B"/>
    <w:rsid w:val="00F02305"/>
    <w:rsid w:val="00F02523"/>
    <w:rsid w:val="00F043BC"/>
    <w:rsid w:val="00F055D5"/>
    <w:rsid w:val="00F05628"/>
    <w:rsid w:val="00F10610"/>
    <w:rsid w:val="00F1076A"/>
    <w:rsid w:val="00F10866"/>
    <w:rsid w:val="00F1223F"/>
    <w:rsid w:val="00F12970"/>
    <w:rsid w:val="00F12AAC"/>
    <w:rsid w:val="00F137E0"/>
    <w:rsid w:val="00F14763"/>
    <w:rsid w:val="00F1497E"/>
    <w:rsid w:val="00F14F2C"/>
    <w:rsid w:val="00F15EC0"/>
    <w:rsid w:val="00F15F78"/>
    <w:rsid w:val="00F16042"/>
    <w:rsid w:val="00F1684F"/>
    <w:rsid w:val="00F21715"/>
    <w:rsid w:val="00F21F6A"/>
    <w:rsid w:val="00F231C2"/>
    <w:rsid w:val="00F23938"/>
    <w:rsid w:val="00F23C52"/>
    <w:rsid w:val="00F2459D"/>
    <w:rsid w:val="00F24967"/>
    <w:rsid w:val="00F256FD"/>
    <w:rsid w:val="00F25C06"/>
    <w:rsid w:val="00F25FBC"/>
    <w:rsid w:val="00F304D9"/>
    <w:rsid w:val="00F324AA"/>
    <w:rsid w:val="00F32653"/>
    <w:rsid w:val="00F32B8E"/>
    <w:rsid w:val="00F332F3"/>
    <w:rsid w:val="00F33A03"/>
    <w:rsid w:val="00F35FEE"/>
    <w:rsid w:val="00F4059A"/>
    <w:rsid w:val="00F40C3A"/>
    <w:rsid w:val="00F41AE8"/>
    <w:rsid w:val="00F424E8"/>
    <w:rsid w:val="00F42BEB"/>
    <w:rsid w:val="00F4336C"/>
    <w:rsid w:val="00F4668C"/>
    <w:rsid w:val="00F517AE"/>
    <w:rsid w:val="00F52AC1"/>
    <w:rsid w:val="00F5556B"/>
    <w:rsid w:val="00F57C09"/>
    <w:rsid w:val="00F622A8"/>
    <w:rsid w:val="00F63412"/>
    <w:rsid w:val="00F64601"/>
    <w:rsid w:val="00F64B2E"/>
    <w:rsid w:val="00F652CA"/>
    <w:rsid w:val="00F654BF"/>
    <w:rsid w:val="00F6591E"/>
    <w:rsid w:val="00F66CB5"/>
    <w:rsid w:val="00F709FF"/>
    <w:rsid w:val="00F70EE5"/>
    <w:rsid w:val="00F72579"/>
    <w:rsid w:val="00F75FBF"/>
    <w:rsid w:val="00F76387"/>
    <w:rsid w:val="00F76F17"/>
    <w:rsid w:val="00F80B0F"/>
    <w:rsid w:val="00F80B2D"/>
    <w:rsid w:val="00F81CC7"/>
    <w:rsid w:val="00F81DF8"/>
    <w:rsid w:val="00F8397E"/>
    <w:rsid w:val="00F83FE9"/>
    <w:rsid w:val="00F84702"/>
    <w:rsid w:val="00F8548E"/>
    <w:rsid w:val="00F856AB"/>
    <w:rsid w:val="00F85EBE"/>
    <w:rsid w:val="00F87450"/>
    <w:rsid w:val="00F90B3B"/>
    <w:rsid w:val="00F91C52"/>
    <w:rsid w:val="00F92079"/>
    <w:rsid w:val="00F93B9A"/>
    <w:rsid w:val="00F94ABE"/>
    <w:rsid w:val="00F96378"/>
    <w:rsid w:val="00F9705D"/>
    <w:rsid w:val="00F97C91"/>
    <w:rsid w:val="00FA07B1"/>
    <w:rsid w:val="00FA1DA6"/>
    <w:rsid w:val="00FA233D"/>
    <w:rsid w:val="00FA2B46"/>
    <w:rsid w:val="00FA3029"/>
    <w:rsid w:val="00FA3D62"/>
    <w:rsid w:val="00FA5843"/>
    <w:rsid w:val="00FB1CF2"/>
    <w:rsid w:val="00FB2369"/>
    <w:rsid w:val="00FB3CFA"/>
    <w:rsid w:val="00FB4718"/>
    <w:rsid w:val="00FB53DE"/>
    <w:rsid w:val="00FB63E5"/>
    <w:rsid w:val="00FB6732"/>
    <w:rsid w:val="00FC1F89"/>
    <w:rsid w:val="00FC460E"/>
    <w:rsid w:val="00FC5092"/>
    <w:rsid w:val="00FC56DA"/>
    <w:rsid w:val="00FC78DC"/>
    <w:rsid w:val="00FD0282"/>
    <w:rsid w:val="00FD02AF"/>
    <w:rsid w:val="00FD0B2A"/>
    <w:rsid w:val="00FD0DD0"/>
    <w:rsid w:val="00FD1697"/>
    <w:rsid w:val="00FD4ED3"/>
    <w:rsid w:val="00FD5312"/>
    <w:rsid w:val="00FD5C76"/>
    <w:rsid w:val="00FD6273"/>
    <w:rsid w:val="00FD7B8E"/>
    <w:rsid w:val="00FE0388"/>
    <w:rsid w:val="00FE1789"/>
    <w:rsid w:val="00FE2069"/>
    <w:rsid w:val="00FE2AA7"/>
    <w:rsid w:val="00FE641F"/>
    <w:rsid w:val="00FE7F69"/>
    <w:rsid w:val="00FF15EA"/>
    <w:rsid w:val="00FF26D1"/>
    <w:rsid w:val="00FF3C8E"/>
    <w:rsid w:val="00FF51C5"/>
    <w:rsid w:val="00FF5DE0"/>
    <w:rsid w:val="00FF61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enu v:ext="edit" stroke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F0A9A"/>
    <w:pPr>
      <w:autoSpaceDE w:val="0"/>
      <w:autoSpaceDN w:val="0"/>
    </w:pPr>
  </w:style>
  <w:style w:type="paragraph" w:styleId="1">
    <w:name w:val="heading 1"/>
    <w:basedOn w:val="a"/>
    <w:next w:val="a"/>
    <w:qFormat/>
    <w:rsid w:val="009F0A9A"/>
    <w:pPr>
      <w:keepNext/>
      <w:jc w:val="center"/>
      <w:outlineLvl w:val="0"/>
    </w:pPr>
    <w:rPr>
      <w:b/>
      <w:bCs/>
      <w:sz w:val="24"/>
      <w:szCs w:val="24"/>
    </w:rPr>
  </w:style>
  <w:style w:type="paragraph" w:styleId="2">
    <w:name w:val="heading 2"/>
    <w:basedOn w:val="a"/>
    <w:next w:val="a"/>
    <w:qFormat/>
    <w:rsid w:val="009F0A9A"/>
    <w:pPr>
      <w:keepNext/>
      <w:ind w:left="284" w:right="566"/>
      <w:jc w:val="both"/>
      <w:outlineLvl w:val="1"/>
    </w:pPr>
    <w:rPr>
      <w:sz w:val="28"/>
      <w:szCs w:val="24"/>
    </w:rPr>
  </w:style>
  <w:style w:type="paragraph" w:styleId="3">
    <w:name w:val="heading 3"/>
    <w:basedOn w:val="a"/>
    <w:next w:val="a"/>
    <w:qFormat/>
    <w:rsid w:val="009F0A9A"/>
    <w:pPr>
      <w:keepNext/>
      <w:spacing w:before="240" w:after="60"/>
      <w:outlineLvl w:val="2"/>
    </w:pPr>
    <w:rPr>
      <w:rFonts w:ascii="Arial" w:hAnsi="Arial" w:cs="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заголовок 1"/>
    <w:basedOn w:val="a"/>
    <w:next w:val="a"/>
    <w:rsid w:val="009F0A9A"/>
    <w:pPr>
      <w:keepNext/>
      <w:ind w:right="5243"/>
    </w:pPr>
    <w:rPr>
      <w:b/>
      <w:bCs/>
      <w:sz w:val="24"/>
      <w:szCs w:val="24"/>
    </w:rPr>
  </w:style>
  <w:style w:type="paragraph" w:customStyle="1" w:styleId="20">
    <w:name w:val="заголовок 2"/>
    <w:basedOn w:val="a"/>
    <w:next w:val="a"/>
    <w:rsid w:val="009F0A9A"/>
    <w:pPr>
      <w:keepNext/>
      <w:jc w:val="center"/>
    </w:pPr>
    <w:rPr>
      <w:b/>
      <w:bCs/>
      <w:sz w:val="36"/>
      <w:szCs w:val="36"/>
    </w:rPr>
  </w:style>
  <w:style w:type="character" w:customStyle="1" w:styleId="a3">
    <w:name w:val="Основной шрифт"/>
    <w:rsid w:val="009F0A9A"/>
  </w:style>
  <w:style w:type="paragraph" w:styleId="a4">
    <w:name w:val="Document Map"/>
    <w:basedOn w:val="a"/>
    <w:semiHidden/>
    <w:rsid w:val="009F0A9A"/>
    <w:pPr>
      <w:shd w:val="clear" w:color="auto" w:fill="000080"/>
    </w:pPr>
    <w:rPr>
      <w:rFonts w:ascii="Tahoma" w:hAnsi="Tahoma" w:cs="Tahoma"/>
    </w:rPr>
  </w:style>
  <w:style w:type="paragraph" w:styleId="a5">
    <w:name w:val="Body Text"/>
    <w:basedOn w:val="a"/>
    <w:rsid w:val="009F0A9A"/>
    <w:pPr>
      <w:ind w:right="566"/>
      <w:jc w:val="both"/>
    </w:pPr>
    <w:rPr>
      <w:sz w:val="24"/>
      <w:szCs w:val="24"/>
    </w:rPr>
  </w:style>
  <w:style w:type="paragraph" w:styleId="21">
    <w:name w:val="List 2"/>
    <w:basedOn w:val="a"/>
    <w:rsid w:val="009F0A9A"/>
    <w:pPr>
      <w:ind w:left="566" w:hanging="283"/>
    </w:pPr>
  </w:style>
  <w:style w:type="paragraph" w:customStyle="1" w:styleId="11">
    <w:name w:val="Основной текст с отступом1"/>
    <w:basedOn w:val="a"/>
    <w:rsid w:val="009F0A9A"/>
    <w:pPr>
      <w:spacing w:after="120"/>
      <w:ind w:left="283"/>
    </w:pPr>
  </w:style>
  <w:style w:type="paragraph" w:customStyle="1" w:styleId="4">
    <w:name w:val="Основной текст 4"/>
    <w:basedOn w:val="11"/>
    <w:rsid w:val="009F0A9A"/>
  </w:style>
  <w:style w:type="paragraph" w:styleId="a6">
    <w:name w:val="footer"/>
    <w:basedOn w:val="a"/>
    <w:rsid w:val="009F0A9A"/>
    <w:pPr>
      <w:tabs>
        <w:tab w:val="center" w:pos="4153"/>
        <w:tab w:val="right" w:pos="8306"/>
      </w:tabs>
    </w:pPr>
  </w:style>
  <w:style w:type="character" w:styleId="a7">
    <w:name w:val="page number"/>
    <w:basedOn w:val="a0"/>
    <w:rsid w:val="009F0A9A"/>
  </w:style>
  <w:style w:type="paragraph" w:styleId="a8">
    <w:name w:val="header"/>
    <w:basedOn w:val="a"/>
    <w:rsid w:val="009F0A9A"/>
    <w:pPr>
      <w:tabs>
        <w:tab w:val="center" w:pos="4153"/>
        <w:tab w:val="right" w:pos="8306"/>
      </w:tabs>
    </w:pPr>
  </w:style>
  <w:style w:type="character" w:styleId="a9">
    <w:name w:val="Emphasis"/>
    <w:basedOn w:val="a0"/>
    <w:qFormat/>
    <w:rsid w:val="009F0A9A"/>
    <w:rPr>
      <w:i/>
      <w:iCs/>
    </w:rPr>
  </w:style>
  <w:style w:type="paragraph" w:styleId="aa">
    <w:name w:val="Body Text Indent"/>
    <w:basedOn w:val="a"/>
    <w:rsid w:val="009F0A9A"/>
    <w:pPr>
      <w:ind w:firstLine="709"/>
      <w:jc w:val="both"/>
    </w:pPr>
    <w:rPr>
      <w:sz w:val="24"/>
      <w:szCs w:val="24"/>
    </w:rPr>
  </w:style>
  <w:style w:type="paragraph" w:styleId="22">
    <w:name w:val="Body Text Indent 2"/>
    <w:basedOn w:val="a"/>
    <w:rsid w:val="009F0A9A"/>
    <w:pPr>
      <w:ind w:left="709" w:firstLine="567"/>
      <w:jc w:val="both"/>
    </w:pPr>
    <w:rPr>
      <w:b/>
      <w:bCs/>
      <w:sz w:val="24"/>
      <w:szCs w:val="24"/>
    </w:rPr>
  </w:style>
  <w:style w:type="paragraph" w:styleId="30">
    <w:name w:val="Body Text Indent 3"/>
    <w:basedOn w:val="a"/>
    <w:rsid w:val="009F0A9A"/>
    <w:pPr>
      <w:ind w:left="709"/>
      <w:jc w:val="both"/>
    </w:pPr>
    <w:rPr>
      <w:b/>
      <w:bCs/>
      <w:sz w:val="24"/>
      <w:szCs w:val="24"/>
    </w:rPr>
  </w:style>
  <w:style w:type="paragraph" w:styleId="ab">
    <w:name w:val="Block Text"/>
    <w:basedOn w:val="a"/>
    <w:rsid w:val="009F0A9A"/>
    <w:pPr>
      <w:ind w:left="567" w:right="141" w:firstLine="851"/>
      <w:jc w:val="both"/>
    </w:pPr>
    <w:rPr>
      <w:sz w:val="24"/>
      <w:szCs w:val="24"/>
    </w:rPr>
  </w:style>
  <w:style w:type="paragraph" w:styleId="ac">
    <w:name w:val="Balloon Text"/>
    <w:basedOn w:val="a"/>
    <w:semiHidden/>
    <w:rsid w:val="009F0A9A"/>
    <w:rPr>
      <w:rFonts w:ascii="Tahoma" w:hAnsi="Tahoma" w:cs="Tahoma"/>
      <w:sz w:val="16"/>
      <w:szCs w:val="16"/>
    </w:rPr>
  </w:style>
  <w:style w:type="paragraph" w:styleId="ad">
    <w:name w:val="Plain Text"/>
    <w:basedOn w:val="a"/>
    <w:link w:val="ae"/>
    <w:rsid w:val="00EA58AB"/>
    <w:pPr>
      <w:autoSpaceDE/>
      <w:autoSpaceDN/>
    </w:pPr>
    <w:rPr>
      <w:rFonts w:ascii="Courier New" w:hAnsi="Courier New" w:cs="Courier New"/>
    </w:rPr>
  </w:style>
  <w:style w:type="paragraph" w:styleId="31">
    <w:name w:val="Body Text 3"/>
    <w:basedOn w:val="a"/>
    <w:rsid w:val="00BB20B5"/>
    <w:pPr>
      <w:spacing w:after="120"/>
    </w:pPr>
    <w:rPr>
      <w:sz w:val="16"/>
      <w:szCs w:val="16"/>
    </w:rPr>
  </w:style>
  <w:style w:type="paragraph" w:customStyle="1" w:styleId="af">
    <w:name w:val="Содержимое таблицы"/>
    <w:basedOn w:val="a"/>
    <w:rsid w:val="00B66DD7"/>
    <w:pPr>
      <w:suppressLineNumbers/>
      <w:suppressAutoHyphens/>
      <w:autoSpaceDE/>
      <w:autoSpaceDN/>
    </w:pPr>
    <w:rPr>
      <w:sz w:val="24"/>
      <w:szCs w:val="24"/>
      <w:lang w:eastAsia="ar-SA"/>
    </w:rPr>
  </w:style>
  <w:style w:type="paragraph" w:customStyle="1" w:styleId="210">
    <w:name w:val="Знак Знак Знак2 Знак Знак Знак Знак Знак Знак Знак Знак Знак Знак Знак Знак1 Знак"/>
    <w:basedOn w:val="a"/>
    <w:rsid w:val="006C2D41"/>
    <w:pPr>
      <w:autoSpaceDE/>
      <w:autoSpaceDN/>
      <w:spacing w:after="160" w:line="240" w:lineRule="exact"/>
    </w:pPr>
    <w:rPr>
      <w:rFonts w:ascii="Tahoma" w:hAnsi="Tahoma"/>
      <w:lang w:val="en-US" w:eastAsia="en-US"/>
    </w:rPr>
  </w:style>
  <w:style w:type="paragraph" w:customStyle="1" w:styleId="211">
    <w:name w:val="Знак Знак Знак2 Знак Знак Знак Знак Знак Знак Знак Знак Знак Знак Знак Знак1 Знак"/>
    <w:basedOn w:val="a"/>
    <w:rsid w:val="008A0BFF"/>
    <w:pPr>
      <w:autoSpaceDE/>
      <w:autoSpaceDN/>
      <w:spacing w:after="160" w:line="240" w:lineRule="exact"/>
    </w:pPr>
    <w:rPr>
      <w:rFonts w:ascii="Tahoma" w:hAnsi="Tahoma"/>
      <w:lang w:val="en-US" w:eastAsia="en-US"/>
    </w:rPr>
  </w:style>
  <w:style w:type="paragraph" w:customStyle="1" w:styleId="212">
    <w:name w:val="Знак Знак Знак2 Знак Знак Знак Знак Знак Знак Знак Знак Знак Знак Знак Знак1 Знак"/>
    <w:basedOn w:val="a"/>
    <w:rsid w:val="00BC0A71"/>
    <w:pPr>
      <w:autoSpaceDE/>
      <w:autoSpaceDN/>
      <w:spacing w:after="160" w:line="240" w:lineRule="exact"/>
    </w:pPr>
    <w:rPr>
      <w:rFonts w:ascii="Tahoma" w:hAnsi="Tahoma"/>
      <w:lang w:val="en-US" w:eastAsia="en-US"/>
    </w:rPr>
  </w:style>
  <w:style w:type="character" w:customStyle="1" w:styleId="ae">
    <w:name w:val="Текст Знак"/>
    <w:link w:val="ad"/>
    <w:rsid w:val="00BC0A71"/>
    <w:rPr>
      <w:rFonts w:ascii="Courier New" w:hAnsi="Courier New" w:cs="Courier New"/>
    </w:rPr>
  </w:style>
  <w:style w:type="paragraph" w:styleId="af0">
    <w:name w:val="List Paragraph"/>
    <w:basedOn w:val="a"/>
    <w:uiPriority w:val="34"/>
    <w:qFormat/>
    <w:rsid w:val="006734A7"/>
    <w:pPr>
      <w:ind w:left="720"/>
      <w:contextualSpacing/>
    </w:pPr>
  </w:style>
  <w:style w:type="paragraph" w:styleId="af1">
    <w:name w:val="Normal (Web)"/>
    <w:basedOn w:val="a"/>
    <w:rsid w:val="00781A97"/>
    <w:pPr>
      <w:autoSpaceDE/>
      <w:autoSpaceDN/>
      <w:spacing w:before="100" w:beforeAutospacing="1" w:after="100" w:afterAutospacing="1"/>
    </w:pPr>
    <w:rPr>
      <w:sz w:val="24"/>
      <w:szCs w:val="24"/>
    </w:rPr>
  </w:style>
  <w:style w:type="paragraph" w:customStyle="1" w:styleId="213">
    <w:name w:val="Знак Знак Знак2 Знак Знак Знак Знак Знак Знак Знак Знак Знак Знак Знак Знак1 Знак"/>
    <w:basedOn w:val="a"/>
    <w:rsid w:val="00717F53"/>
    <w:pPr>
      <w:autoSpaceDE/>
      <w:autoSpaceDN/>
      <w:spacing w:after="160" w:line="240" w:lineRule="exact"/>
    </w:pPr>
    <w:rPr>
      <w:rFonts w:ascii="Tahoma" w:hAnsi="Tahoma"/>
      <w:lang w:val="en-US" w:eastAsia="en-US"/>
    </w:rPr>
  </w:style>
  <w:style w:type="paragraph" w:customStyle="1" w:styleId="214">
    <w:name w:val="Знак Знак Знак2 Знак Знак Знак Знак Знак Знак Знак Знак Знак Знак Знак Знак1 Знак"/>
    <w:basedOn w:val="a"/>
    <w:rsid w:val="00396C11"/>
    <w:pPr>
      <w:autoSpaceDE/>
      <w:autoSpaceDN/>
      <w:spacing w:after="160" w:line="240" w:lineRule="exact"/>
    </w:pPr>
    <w:rPr>
      <w:rFonts w:ascii="Tahoma" w:hAnsi="Tahoma"/>
      <w:lang w:val="en-US" w:eastAsia="en-US"/>
    </w:rPr>
  </w:style>
  <w:style w:type="character" w:styleId="af2">
    <w:name w:val="Hyperlink"/>
    <w:basedOn w:val="a0"/>
    <w:rsid w:val="00396C11"/>
    <w:rPr>
      <w:color w:val="0000FF"/>
      <w:u w:val="single"/>
    </w:rPr>
  </w:style>
  <w:style w:type="paragraph" w:customStyle="1" w:styleId="215">
    <w:name w:val="Знак Знак Знак2 Знак Знак Знак Знак Знак Знак Знак Знак Знак Знак Знак Знак1 Знак"/>
    <w:basedOn w:val="a"/>
    <w:rsid w:val="00877A99"/>
    <w:pPr>
      <w:autoSpaceDE/>
      <w:autoSpaceDN/>
      <w:spacing w:after="160" w:line="240" w:lineRule="exact"/>
    </w:pPr>
    <w:rPr>
      <w:rFonts w:ascii="Tahoma" w:hAnsi="Tahoma"/>
      <w:lang w:val="en-US" w:eastAsia="en-US"/>
    </w:rPr>
  </w:style>
  <w:style w:type="paragraph" w:customStyle="1" w:styleId="216">
    <w:name w:val="Знак Знак Знак2 Знак Знак Знак Знак Знак Знак Знак Знак Знак Знак Знак Знак1 Знак"/>
    <w:basedOn w:val="a"/>
    <w:rsid w:val="00937B18"/>
    <w:pPr>
      <w:autoSpaceDE/>
      <w:autoSpaceDN/>
      <w:spacing w:after="160" w:line="240" w:lineRule="exact"/>
    </w:pPr>
    <w:rPr>
      <w:rFonts w:ascii="Tahoma" w:hAnsi="Tahoma"/>
      <w:lang w:val="en-US" w:eastAsia="en-US"/>
    </w:rPr>
  </w:style>
  <w:style w:type="paragraph" w:customStyle="1" w:styleId="217">
    <w:name w:val="Знак Знак Знак2 Знак Знак Знак Знак Знак Знак Знак Знак Знак Знак Знак Знак1 Знак"/>
    <w:basedOn w:val="a"/>
    <w:rsid w:val="00BC7971"/>
    <w:pPr>
      <w:autoSpaceDE/>
      <w:autoSpaceDN/>
      <w:spacing w:after="160" w:line="240" w:lineRule="exact"/>
    </w:pPr>
    <w:rPr>
      <w:rFonts w:ascii="Tahoma" w:hAnsi="Tahoma"/>
      <w:lang w:val="en-US" w:eastAsia="en-US"/>
    </w:rPr>
  </w:style>
  <w:style w:type="paragraph" w:customStyle="1" w:styleId="218">
    <w:name w:val="Знак Знак Знак2 Знак Знак Знак Знак Знак Знак Знак Знак Знак Знак Знак Знак1 Знак"/>
    <w:basedOn w:val="a"/>
    <w:rsid w:val="00327148"/>
    <w:pPr>
      <w:autoSpaceDE/>
      <w:autoSpaceDN/>
      <w:spacing w:after="160" w:line="240" w:lineRule="exact"/>
    </w:pPr>
    <w:rPr>
      <w:rFonts w:ascii="Tahoma" w:hAnsi="Tahoma"/>
      <w:lang w:val="en-US" w:eastAsia="en-US"/>
    </w:rPr>
  </w:style>
  <w:style w:type="paragraph" w:customStyle="1" w:styleId="219">
    <w:name w:val="Знак Знак Знак2 Знак Знак Знак Знак Знак Знак Знак Знак Знак Знак Знак Знак1 Знак"/>
    <w:basedOn w:val="a"/>
    <w:rsid w:val="00EE1C0F"/>
    <w:pPr>
      <w:autoSpaceDE/>
      <w:autoSpaceDN/>
      <w:spacing w:after="160" w:line="240" w:lineRule="exact"/>
    </w:pPr>
    <w:rPr>
      <w:rFonts w:ascii="Tahoma" w:hAnsi="Tahoma"/>
      <w:lang w:val="en-US" w:eastAsia="en-US"/>
    </w:rPr>
  </w:style>
  <w:style w:type="paragraph" w:customStyle="1" w:styleId="21a">
    <w:name w:val="Знак Знак Знак2 Знак Знак Знак Знак Знак Знак Знак Знак Знак Знак Знак Знак1 Знак"/>
    <w:basedOn w:val="a"/>
    <w:rsid w:val="000F0D7B"/>
    <w:pPr>
      <w:autoSpaceDE/>
      <w:autoSpaceDN/>
      <w:spacing w:after="160" w:line="240" w:lineRule="exact"/>
    </w:pPr>
    <w:rPr>
      <w:rFonts w:ascii="Tahoma" w:hAnsi="Tahoma"/>
      <w:lang w:val="en-US" w:eastAsia="en-US"/>
    </w:rPr>
  </w:style>
  <w:style w:type="paragraph" w:customStyle="1" w:styleId="21b">
    <w:name w:val="Знак Знак Знак2 Знак Знак Знак Знак Знак Знак Знак Знак Знак Знак Знак Знак1 Знак"/>
    <w:basedOn w:val="a"/>
    <w:rsid w:val="00196DCC"/>
    <w:pPr>
      <w:autoSpaceDE/>
      <w:autoSpaceDN/>
      <w:spacing w:after="160" w:line="240" w:lineRule="exact"/>
    </w:pPr>
    <w:rPr>
      <w:rFonts w:ascii="Tahoma" w:hAnsi="Tahoma"/>
      <w:lang w:val="en-US" w:eastAsia="en-US"/>
    </w:rPr>
  </w:style>
  <w:style w:type="paragraph" w:customStyle="1" w:styleId="af3">
    <w:name w:val="Знак"/>
    <w:basedOn w:val="a"/>
    <w:rsid w:val="004C1530"/>
    <w:pPr>
      <w:autoSpaceDE/>
      <w:autoSpaceDN/>
      <w:spacing w:after="160" w:line="240" w:lineRule="exact"/>
    </w:pPr>
    <w:rPr>
      <w:rFonts w:ascii="Tahoma" w:hAnsi="Tahoma"/>
      <w:lang w:val="en-US" w:eastAsia="en-US"/>
    </w:rPr>
  </w:style>
  <w:style w:type="paragraph" w:customStyle="1" w:styleId="21c">
    <w:name w:val="Знак Знак Знак2 Знак Знак Знак Знак Знак Знак Знак Знак Знак Знак Знак Знак1 Знак"/>
    <w:basedOn w:val="a"/>
    <w:rsid w:val="00AF022E"/>
    <w:pPr>
      <w:autoSpaceDE/>
      <w:autoSpaceDN/>
      <w:spacing w:after="160" w:line="240" w:lineRule="exact"/>
    </w:pPr>
    <w:rPr>
      <w:rFonts w:ascii="Tahoma" w:hAnsi="Tahoma"/>
      <w:lang w:val="en-US" w:eastAsia="en-US"/>
    </w:rPr>
  </w:style>
  <w:style w:type="paragraph" w:customStyle="1" w:styleId="21d">
    <w:name w:val="Знак Знак Знак2 Знак Знак Знак Знак Знак Знак Знак Знак Знак Знак Знак Знак1 Знак"/>
    <w:basedOn w:val="a"/>
    <w:rsid w:val="00453ED8"/>
    <w:pPr>
      <w:autoSpaceDE/>
      <w:autoSpaceDN/>
      <w:spacing w:after="160" w:line="240" w:lineRule="exact"/>
    </w:pPr>
    <w:rPr>
      <w:rFonts w:ascii="Tahoma" w:hAnsi="Tahoma"/>
      <w:lang w:val="en-US"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610F08"/>
    <w:pPr>
      <w:autoSpaceDE/>
      <w:autoSpaceDN/>
      <w:spacing w:before="100" w:beforeAutospacing="1" w:after="100" w:afterAutospacing="1"/>
    </w:pPr>
    <w:rPr>
      <w:rFonts w:ascii="Tahoma" w:hAnsi="Tahoma"/>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F0A9A"/>
    <w:pPr>
      <w:autoSpaceDE w:val="0"/>
      <w:autoSpaceDN w:val="0"/>
    </w:pPr>
  </w:style>
  <w:style w:type="paragraph" w:styleId="1">
    <w:name w:val="heading 1"/>
    <w:basedOn w:val="a"/>
    <w:next w:val="a"/>
    <w:qFormat/>
    <w:rsid w:val="009F0A9A"/>
    <w:pPr>
      <w:keepNext/>
      <w:jc w:val="center"/>
      <w:outlineLvl w:val="0"/>
    </w:pPr>
    <w:rPr>
      <w:b/>
      <w:bCs/>
      <w:sz w:val="24"/>
      <w:szCs w:val="24"/>
    </w:rPr>
  </w:style>
  <w:style w:type="paragraph" w:styleId="2">
    <w:name w:val="heading 2"/>
    <w:basedOn w:val="a"/>
    <w:next w:val="a"/>
    <w:qFormat/>
    <w:rsid w:val="009F0A9A"/>
    <w:pPr>
      <w:keepNext/>
      <w:ind w:left="284" w:right="566"/>
      <w:jc w:val="both"/>
      <w:outlineLvl w:val="1"/>
    </w:pPr>
    <w:rPr>
      <w:sz w:val="28"/>
      <w:szCs w:val="24"/>
    </w:rPr>
  </w:style>
  <w:style w:type="paragraph" w:styleId="3">
    <w:name w:val="heading 3"/>
    <w:basedOn w:val="a"/>
    <w:next w:val="a"/>
    <w:qFormat/>
    <w:rsid w:val="009F0A9A"/>
    <w:pPr>
      <w:keepNext/>
      <w:spacing w:before="240" w:after="60"/>
      <w:outlineLvl w:val="2"/>
    </w:pPr>
    <w:rPr>
      <w:rFonts w:ascii="Arial" w:hAnsi="Arial" w:cs="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заголовок 1"/>
    <w:basedOn w:val="a"/>
    <w:next w:val="a"/>
    <w:rsid w:val="009F0A9A"/>
    <w:pPr>
      <w:keepNext/>
      <w:ind w:right="5243"/>
    </w:pPr>
    <w:rPr>
      <w:b/>
      <w:bCs/>
      <w:sz w:val="24"/>
      <w:szCs w:val="24"/>
    </w:rPr>
  </w:style>
  <w:style w:type="paragraph" w:customStyle="1" w:styleId="20">
    <w:name w:val="заголовок 2"/>
    <w:basedOn w:val="a"/>
    <w:next w:val="a"/>
    <w:rsid w:val="009F0A9A"/>
    <w:pPr>
      <w:keepNext/>
      <w:jc w:val="center"/>
    </w:pPr>
    <w:rPr>
      <w:b/>
      <w:bCs/>
      <w:sz w:val="36"/>
      <w:szCs w:val="36"/>
    </w:rPr>
  </w:style>
  <w:style w:type="character" w:customStyle="1" w:styleId="a3">
    <w:name w:val="Основной шрифт"/>
    <w:rsid w:val="009F0A9A"/>
  </w:style>
  <w:style w:type="paragraph" w:styleId="a4">
    <w:name w:val="Document Map"/>
    <w:basedOn w:val="a"/>
    <w:semiHidden/>
    <w:rsid w:val="009F0A9A"/>
    <w:pPr>
      <w:shd w:val="clear" w:color="auto" w:fill="000080"/>
    </w:pPr>
    <w:rPr>
      <w:rFonts w:ascii="Tahoma" w:hAnsi="Tahoma" w:cs="Tahoma"/>
    </w:rPr>
  </w:style>
  <w:style w:type="paragraph" w:styleId="a5">
    <w:name w:val="Body Text"/>
    <w:basedOn w:val="a"/>
    <w:rsid w:val="009F0A9A"/>
    <w:pPr>
      <w:ind w:right="566"/>
      <w:jc w:val="both"/>
    </w:pPr>
    <w:rPr>
      <w:sz w:val="24"/>
      <w:szCs w:val="24"/>
    </w:rPr>
  </w:style>
  <w:style w:type="paragraph" w:styleId="21">
    <w:name w:val="List 2"/>
    <w:basedOn w:val="a"/>
    <w:rsid w:val="009F0A9A"/>
    <w:pPr>
      <w:ind w:left="566" w:hanging="283"/>
    </w:pPr>
  </w:style>
  <w:style w:type="paragraph" w:customStyle="1" w:styleId="11">
    <w:name w:val="Основной текст с отступом1"/>
    <w:basedOn w:val="a"/>
    <w:rsid w:val="009F0A9A"/>
    <w:pPr>
      <w:spacing w:after="120"/>
      <w:ind w:left="283"/>
    </w:pPr>
  </w:style>
  <w:style w:type="paragraph" w:customStyle="1" w:styleId="4">
    <w:name w:val="Основной текст 4"/>
    <w:basedOn w:val="11"/>
    <w:rsid w:val="009F0A9A"/>
  </w:style>
  <w:style w:type="paragraph" w:styleId="a6">
    <w:name w:val="footer"/>
    <w:basedOn w:val="a"/>
    <w:rsid w:val="009F0A9A"/>
    <w:pPr>
      <w:tabs>
        <w:tab w:val="center" w:pos="4153"/>
        <w:tab w:val="right" w:pos="8306"/>
      </w:tabs>
    </w:pPr>
  </w:style>
  <w:style w:type="character" w:styleId="a7">
    <w:name w:val="page number"/>
    <w:basedOn w:val="a0"/>
    <w:rsid w:val="009F0A9A"/>
  </w:style>
  <w:style w:type="paragraph" w:styleId="a8">
    <w:name w:val="header"/>
    <w:basedOn w:val="a"/>
    <w:rsid w:val="009F0A9A"/>
    <w:pPr>
      <w:tabs>
        <w:tab w:val="center" w:pos="4153"/>
        <w:tab w:val="right" w:pos="8306"/>
      </w:tabs>
    </w:pPr>
  </w:style>
  <w:style w:type="character" w:styleId="a9">
    <w:name w:val="Emphasis"/>
    <w:basedOn w:val="a0"/>
    <w:qFormat/>
    <w:rsid w:val="009F0A9A"/>
    <w:rPr>
      <w:i/>
      <w:iCs/>
    </w:rPr>
  </w:style>
  <w:style w:type="paragraph" w:styleId="aa">
    <w:name w:val="Body Text Indent"/>
    <w:basedOn w:val="a"/>
    <w:rsid w:val="009F0A9A"/>
    <w:pPr>
      <w:ind w:firstLine="709"/>
      <w:jc w:val="both"/>
    </w:pPr>
    <w:rPr>
      <w:sz w:val="24"/>
      <w:szCs w:val="24"/>
    </w:rPr>
  </w:style>
  <w:style w:type="paragraph" w:styleId="22">
    <w:name w:val="Body Text Indent 2"/>
    <w:basedOn w:val="a"/>
    <w:rsid w:val="009F0A9A"/>
    <w:pPr>
      <w:ind w:left="709" w:firstLine="567"/>
      <w:jc w:val="both"/>
    </w:pPr>
    <w:rPr>
      <w:b/>
      <w:bCs/>
      <w:sz w:val="24"/>
      <w:szCs w:val="24"/>
    </w:rPr>
  </w:style>
  <w:style w:type="paragraph" w:styleId="30">
    <w:name w:val="Body Text Indent 3"/>
    <w:basedOn w:val="a"/>
    <w:rsid w:val="009F0A9A"/>
    <w:pPr>
      <w:ind w:left="709"/>
      <w:jc w:val="both"/>
    </w:pPr>
    <w:rPr>
      <w:b/>
      <w:bCs/>
      <w:sz w:val="24"/>
      <w:szCs w:val="24"/>
    </w:rPr>
  </w:style>
  <w:style w:type="paragraph" w:styleId="ab">
    <w:name w:val="Block Text"/>
    <w:basedOn w:val="a"/>
    <w:rsid w:val="009F0A9A"/>
    <w:pPr>
      <w:ind w:left="567" w:right="141" w:firstLine="851"/>
      <w:jc w:val="both"/>
    </w:pPr>
    <w:rPr>
      <w:sz w:val="24"/>
      <w:szCs w:val="24"/>
    </w:rPr>
  </w:style>
  <w:style w:type="paragraph" w:styleId="ac">
    <w:name w:val="Balloon Text"/>
    <w:basedOn w:val="a"/>
    <w:semiHidden/>
    <w:rsid w:val="009F0A9A"/>
    <w:rPr>
      <w:rFonts w:ascii="Tahoma" w:hAnsi="Tahoma" w:cs="Tahoma"/>
      <w:sz w:val="16"/>
      <w:szCs w:val="16"/>
    </w:rPr>
  </w:style>
  <w:style w:type="paragraph" w:styleId="ad">
    <w:name w:val="Plain Text"/>
    <w:basedOn w:val="a"/>
    <w:link w:val="ae"/>
    <w:rsid w:val="00EA58AB"/>
    <w:pPr>
      <w:autoSpaceDE/>
      <w:autoSpaceDN/>
    </w:pPr>
    <w:rPr>
      <w:rFonts w:ascii="Courier New" w:hAnsi="Courier New" w:cs="Courier New"/>
    </w:rPr>
  </w:style>
  <w:style w:type="paragraph" w:styleId="31">
    <w:name w:val="Body Text 3"/>
    <w:basedOn w:val="a"/>
    <w:rsid w:val="00BB20B5"/>
    <w:pPr>
      <w:spacing w:after="120"/>
    </w:pPr>
    <w:rPr>
      <w:sz w:val="16"/>
      <w:szCs w:val="16"/>
    </w:rPr>
  </w:style>
  <w:style w:type="paragraph" w:customStyle="1" w:styleId="af">
    <w:name w:val="Содержимое таблицы"/>
    <w:basedOn w:val="a"/>
    <w:rsid w:val="00B66DD7"/>
    <w:pPr>
      <w:suppressLineNumbers/>
      <w:suppressAutoHyphens/>
      <w:autoSpaceDE/>
      <w:autoSpaceDN/>
    </w:pPr>
    <w:rPr>
      <w:sz w:val="24"/>
      <w:szCs w:val="24"/>
      <w:lang w:eastAsia="ar-SA"/>
    </w:rPr>
  </w:style>
  <w:style w:type="paragraph" w:customStyle="1" w:styleId="210">
    <w:name w:val="Знак Знак Знак2 Знак Знак Знак Знак Знак Знак Знак Знак Знак Знак Знак Знак1 Знак"/>
    <w:basedOn w:val="a"/>
    <w:rsid w:val="006C2D41"/>
    <w:pPr>
      <w:autoSpaceDE/>
      <w:autoSpaceDN/>
      <w:spacing w:after="160" w:line="240" w:lineRule="exact"/>
    </w:pPr>
    <w:rPr>
      <w:rFonts w:ascii="Tahoma" w:hAnsi="Tahoma"/>
      <w:lang w:val="en-US" w:eastAsia="en-US"/>
    </w:rPr>
  </w:style>
  <w:style w:type="paragraph" w:customStyle="1" w:styleId="211">
    <w:name w:val="Знак Знак Знак2 Знак Знак Знак Знак Знак Знак Знак Знак Знак Знак Знак Знак1 Знак"/>
    <w:basedOn w:val="a"/>
    <w:rsid w:val="008A0BFF"/>
    <w:pPr>
      <w:autoSpaceDE/>
      <w:autoSpaceDN/>
      <w:spacing w:after="160" w:line="240" w:lineRule="exact"/>
    </w:pPr>
    <w:rPr>
      <w:rFonts w:ascii="Tahoma" w:hAnsi="Tahoma"/>
      <w:lang w:val="en-US" w:eastAsia="en-US"/>
    </w:rPr>
  </w:style>
  <w:style w:type="paragraph" w:customStyle="1" w:styleId="212">
    <w:name w:val="Знак Знак Знак2 Знак Знак Знак Знак Знак Знак Знак Знак Знак Знак Знак Знак1 Знак"/>
    <w:basedOn w:val="a"/>
    <w:rsid w:val="00BC0A71"/>
    <w:pPr>
      <w:autoSpaceDE/>
      <w:autoSpaceDN/>
      <w:spacing w:after="160" w:line="240" w:lineRule="exact"/>
    </w:pPr>
    <w:rPr>
      <w:rFonts w:ascii="Tahoma" w:hAnsi="Tahoma"/>
      <w:lang w:val="en-US" w:eastAsia="en-US"/>
    </w:rPr>
  </w:style>
  <w:style w:type="character" w:customStyle="1" w:styleId="ae">
    <w:name w:val="Текст Знак"/>
    <w:link w:val="ad"/>
    <w:rsid w:val="00BC0A71"/>
    <w:rPr>
      <w:rFonts w:ascii="Courier New" w:hAnsi="Courier New" w:cs="Courier New"/>
    </w:rPr>
  </w:style>
  <w:style w:type="paragraph" w:styleId="af0">
    <w:name w:val="List Paragraph"/>
    <w:basedOn w:val="a"/>
    <w:uiPriority w:val="34"/>
    <w:qFormat/>
    <w:rsid w:val="006734A7"/>
    <w:pPr>
      <w:ind w:left="720"/>
      <w:contextualSpacing/>
    </w:pPr>
  </w:style>
  <w:style w:type="paragraph" w:styleId="af1">
    <w:name w:val="Normal (Web)"/>
    <w:basedOn w:val="a"/>
    <w:rsid w:val="00781A97"/>
    <w:pPr>
      <w:autoSpaceDE/>
      <w:autoSpaceDN/>
      <w:spacing w:before="100" w:beforeAutospacing="1" w:after="100" w:afterAutospacing="1"/>
    </w:pPr>
    <w:rPr>
      <w:sz w:val="24"/>
      <w:szCs w:val="24"/>
    </w:rPr>
  </w:style>
  <w:style w:type="paragraph" w:customStyle="1" w:styleId="213">
    <w:name w:val="Знак Знак Знак2 Знак Знак Знак Знак Знак Знак Знак Знак Знак Знак Знак Знак1 Знак"/>
    <w:basedOn w:val="a"/>
    <w:rsid w:val="00717F53"/>
    <w:pPr>
      <w:autoSpaceDE/>
      <w:autoSpaceDN/>
      <w:spacing w:after="160" w:line="240" w:lineRule="exact"/>
    </w:pPr>
    <w:rPr>
      <w:rFonts w:ascii="Tahoma" w:hAnsi="Tahoma"/>
      <w:lang w:val="en-US" w:eastAsia="en-US"/>
    </w:rPr>
  </w:style>
  <w:style w:type="paragraph" w:customStyle="1" w:styleId="214">
    <w:name w:val="Знак Знак Знак2 Знак Знак Знак Знак Знак Знак Знак Знак Знак Знак Знак Знак1 Знак"/>
    <w:basedOn w:val="a"/>
    <w:rsid w:val="00396C11"/>
    <w:pPr>
      <w:autoSpaceDE/>
      <w:autoSpaceDN/>
      <w:spacing w:after="160" w:line="240" w:lineRule="exact"/>
    </w:pPr>
    <w:rPr>
      <w:rFonts w:ascii="Tahoma" w:hAnsi="Tahoma"/>
      <w:lang w:val="en-US" w:eastAsia="en-US"/>
    </w:rPr>
  </w:style>
  <w:style w:type="character" w:styleId="af2">
    <w:name w:val="Hyperlink"/>
    <w:basedOn w:val="a0"/>
    <w:rsid w:val="00396C11"/>
    <w:rPr>
      <w:color w:val="0000FF"/>
      <w:u w:val="single"/>
    </w:rPr>
  </w:style>
  <w:style w:type="paragraph" w:customStyle="1" w:styleId="215">
    <w:name w:val="Знак Знак Знак2 Знак Знак Знак Знак Знак Знак Знак Знак Знак Знак Знак Знак1 Знак"/>
    <w:basedOn w:val="a"/>
    <w:rsid w:val="00877A99"/>
    <w:pPr>
      <w:autoSpaceDE/>
      <w:autoSpaceDN/>
      <w:spacing w:after="160" w:line="240" w:lineRule="exact"/>
    </w:pPr>
    <w:rPr>
      <w:rFonts w:ascii="Tahoma" w:hAnsi="Tahoma"/>
      <w:lang w:val="en-US" w:eastAsia="en-US"/>
    </w:rPr>
  </w:style>
  <w:style w:type="paragraph" w:customStyle="1" w:styleId="216">
    <w:name w:val="Знак Знак Знак2 Знак Знак Знак Знак Знак Знак Знак Знак Знак Знак Знак Знак1 Знак"/>
    <w:basedOn w:val="a"/>
    <w:rsid w:val="00937B18"/>
    <w:pPr>
      <w:autoSpaceDE/>
      <w:autoSpaceDN/>
      <w:spacing w:after="160" w:line="240" w:lineRule="exact"/>
    </w:pPr>
    <w:rPr>
      <w:rFonts w:ascii="Tahoma" w:hAnsi="Tahoma"/>
      <w:lang w:val="en-US" w:eastAsia="en-US"/>
    </w:rPr>
  </w:style>
  <w:style w:type="paragraph" w:customStyle="1" w:styleId="217">
    <w:name w:val="Знак Знак Знак2 Знак Знак Знак Знак Знак Знак Знак Знак Знак Знак Знак Знак1 Знак"/>
    <w:basedOn w:val="a"/>
    <w:rsid w:val="00BC7971"/>
    <w:pPr>
      <w:autoSpaceDE/>
      <w:autoSpaceDN/>
      <w:spacing w:after="160" w:line="240" w:lineRule="exact"/>
    </w:pPr>
    <w:rPr>
      <w:rFonts w:ascii="Tahoma" w:hAnsi="Tahoma"/>
      <w:lang w:val="en-US" w:eastAsia="en-US"/>
    </w:rPr>
  </w:style>
  <w:style w:type="paragraph" w:customStyle="1" w:styleId="218">
    <w:name w:val="Знак Знак Знак2 Знак Знак Знак Знак Знак Знак Знак Знак Знак Знак Знак Знак1 Знак"/>
    <w:basedOn w:val="a"/>
    <w:rsid w:val="00327148"/>
    <w:pPr>
      <w:autoSpaceDE/>
      <w:autoSpaceDN/>
      <w:spacing w:after="160" w:line="240" w:lineRule="exact"/>
    </w:pPr>
    <w:rPr>
      <w:rFonts w:ascii="Tahoma" w:hAnsi="Tahoma"/>
      <w:lang w:val="en-US" w:eastAsia="en-US"/>
    </w:rPr>
  </w:style>
  <w:style w:type="paragraph" w:customStyle="1" w:styleId="219">
    <w:name w:val="Знак Знак Знак2 Знак Знак Знак Знак Знак Знак Знак Знак Знак Знак Знак Знак1 Знак"/>
    <w:basedOn w:val="a"/>
    <w:rsid w:val="00EE1C0F"/>
    <w:pPr>
      <w:autoSpaceDE/>
      <w:autoSpaceDN/>
      <w:spacing w:after="160" w:line="240" w:lineRule="exact"/>
    </w:pPr>
    <w:rPr>
      <w:rFonts w:ascii="Tahoma" w:hAnsi="Tahoma"/>
      <w:lang w:val="en-US" w:eastAsia="en-US"/>
    </w:rPr>
  </w:style>
  <w:style w:type="paragraph" w:customStyle="1" w:styleId="21a">
    <w:name w:val="Знак Знак Знак2 Знак Знак Знак Знак Знак Знак Знак Знак Знак Знак Знак Знак1 Знак"/>
    <w:basedOn w:val="a"/>
    <w:rsid w:val="000F0D7B"/>
    <w:pPr>
      <w:autoSpaceDE/>
      <w:autoSpaceDN/>
      <w:spacing w:after="160" w:line="240" w:lineRule="exact"/>
    </w:pPr>
    <w:rPr>
      <w:rFonts w:ascii="Tahoma" w:hAnsi="Tahoma"/>
      <w:lang w:val="en-US" w:eastAsia="en-US"/>
    </w:rPr>
  </w:style>
  <w:style w:type="paragraph" w:customStyle="1" w:styleId="21b">
    <w:name w:val="Знак Знак Знак2 Знак Знак Знак Знак Знак Знак Знак Знак Знак Знак Знак Знак1 Знак"/>
    <w:basedOn w:val="a"/>
    <w:rsid w:val="00196DCC"/>
    <w:pPr>
      <w:autoSpaceDE/>
      <w:autoSpaceDN/>
      <w:spacing w:after="160" w:line="240" w:lineRule="exact"/>
    </w:pPr>
    <w:rPr>
      <w:rFonts w:ascii="Tahoma" w:hAnsi="Tahoma"/>
      <w:lang w:val="en-US" w:eastAsia="en-US"/>
    </w:rPr>
  </w:style>
  <w:style w:type="paragraph" w:customStyle="1" w:styleId="af3">
    <w:name w:val="Знак"/>
    <w:basedOn w:val="a"/>
    <w:rsid w:val="004C1530"/>
    <w:pPr>
      <w:autoSpaceDE/>
      <w:autoSpaceDN/>
      <w:spacing w:after="160" w:line="240" w:lineRule="exact"/>
    </w:pPr>
    <w:rPr>
      <w:rFonts w:ascii="Tahoma" w:hAnsi="Tahoma"/>
      <w:lang w:val="en-US" w:eastAsia="en-US"/>
    </w:rPr>
  </w:style>
  <w:style w:type="paragraph" w:customStyle="1" w:styleId="21c">
    <w:name w:val="Знак Знак Знак2 Знак Знак Знак Знак Знак Знак Знак Знак Знак Знак Знак Знак1 Знак"/>
    <w:basedOn w:val="a"/>
    <w:rsid w:val="00AF022E"/>
    <w:pPr>
      <w:autoSpaceDE/>
      <w:autoSpaceDN/>
      <w:spacing w:after="160" w:line="240" w:lineRule="exact"/>
    </w:pPr>
    <w:rPr>
      <w:rFonts w:ascii="Tahoma" w:hAnsi="Tahoma"/>
      <w:lang w:val="en-US" w:eastAsia="en-US"/>
    </w:rPr>
  </w:style>
  <w:style w:type="paragraph" w:customStyle="1" w:styleId="21d">
    <w:name w:val="Знак Знак Знак2 Знак Знак Знак Знак Знак Знак Знак Знак Знак Знак Знак Знак1 Знак"/>
    <w:basedOn w:val="a"/>
    <w:rsid w:val="00453ED8"/>
    <w:pPr>
      <w:autoSpaceDE/>
      <w:autoSpaceDN/>
      <w:spacing w:after="160" w:line="240" w:lineRule="exact"/>
    </w:pPr>
    <w:rPr>
      <w:rFonts w:ascii="Tahoma" w:hAnsi="Tahoma"/>
      <w:lang w:val="en-US"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610F08"/>
    <w:pPr>
      <w:autoSpaceDE/>
      <w:autoSpaceDN/>
      <w:spacing w:before="100" w:beforeAutospacing="1" w:after="100" w:afterAutospacing="1"/>
    </w:pPr>
    <w:rPr>
      <w:rFonts w:ascii="Tahoma" w:hAnsi="Tahoma"/>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0492565">
      <w:bodyDiv w:val="1"/>
      <w:marLeft w:val="0"/>
      <w:marRight w:val="0"/>
      <w:marTop w:val="0"/>
      <w:marBottom w:val="0"/>
      <w:divBdr>
        <w:top w:val="none" w:sz="0" w:space="0" w:color="auto"/>
        <w:left w:val="none" w:sz="0" w:space="0" w:color="auto"/>
        <w:bottom w:val="none" w:sz="0" w:space="0" w:color="auto"/>
        <w:right w:val="none" w:sz="0" w:space="0" w:color="auto"/>
      </w:divBdr>
    </w:div>
    <w:div w:id="639119627">
      <w:bodyDiv w:val="1"/>
      <w:marLeft w:val="0"/>
      <w:marRight w:val="0"/>
      <w:marTop w:val="0"/>
      <w:marBottom w:val="0"/>
      <w:divBdr>
        <w:top w:val="none" w:sz="0" w:space="0" w:color="auto"/>
        <w:left w:val="none" w:sz="0" w:space="0" w:color="auto"/>
        <w:bottom w:val="none" w:sz="0" w:space="0" w:color="auto"/>
        <w:right w:val="none" w:sz="0" w:space="0" w:color="auto"/>
      </w:divBdr>
    </w:div>
    <w:div w:id="738019141">
      <w:bodyDiv w:val="1"/>
      <w:marLeft w:val="0"/>
      <w:marRight w:val="0"/>
      <w:marTop w:val="0"/>
      <w:marBottom w:val="0"/>
      <w:divBdr>
        <w:top w:val="none" w:sz="0" w:space="0" w:color="auto"/>
        <w:left w:val="none" w:sz="0" w:space="0" w:color="auto"/>
        <w:bottom w:val="none" w:sz="0" w:space="0" w:color="auto"/>
        <w:right w:val="none" w:sz="0" w:space="0" w:color="auto"/>
      </w:divBdr>
    </w:div>
    <w:div w:id="840855209">
      <w:bodyDiv w:val="1"/>
      <w:marLeft w:val="0"/>
      <w:marRight w:val="0"/>
      <w:marTop w:val="0"/>
      <w:marBottom w:val="0"/>
      <w:divBdr>
        <w:top w:val="none" w:sz="0" w:space="0" w:color="auto"/>
        <w:left w:val="none" w:sz="0" w:space="0" w:color="auto"/>
        <w:bottom w:val="none" w:sz="0" w:space="0" w:color="auto"/>
        <w:right w:val="none" w:sz="0" w:space="0" w:color="auto"/>
      </w:divBdr>
    </w:div>
    <w:div w:id="855778372">
      <w:bodyDiv w:val="1"/>
      <w:marLeft w:val="0"/>
      <w:marRight w:val="0"/>
      <w:marTop w:val="0"/>
      <w:marBottom w:val="0"/>
      <w:divBdr>
        <w:top w:val="none" w:sz="0" w:space="0" w:color="auto"/>
        <w:left w:val="none" w:sz="0" w:space="0" w:color="auto"/>
        <w:bottom w:val="none" w:sz="0" w:space="0" w:color="auto"/>
        <w:right w:val="none" w:sz="0" w:space="0" w:color="auto"/>
      </w:divBdr>
    </w:div>
    <w:div w:id="1044136038">
      <w:bodyDiv w:val="1"/>
      <w:marLeft w:val="0"/>
      <w:marRight w:val="0"/>
      <w:marTop w:val="0"/>
      <w:marBottom w:val="0"/>
      <w:divBdr>
        <w:top w:val="none" w:sz="0" w:space="0" w:color="auto"/>
        <w:left w:val="none" w:sz="0" w:space="0" w:color="auto"/>
        <w:bottom w:val="none" w:sz="0" w:space="0" w:color="auto"/>
        <w:right w:val="none" w:sz="0" w:space="0" w:color="auto"/>
      </w:divBdr>
    </w:div>
    <w:div w:id="1094134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chart" Target="charts/chart10.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9.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23" Type="http://schemas.openxmlformats.org/officeDocument/2006/relationships/theme" Target="theme/theme1.xml"/><Relationship Id="rId10" Type="http://schemas.openxmlformats.org/officeDocument/2006/relationships/chart" Target="charts/chart2.xml"/><Relationship Id="rId19" Type="http://schemas.openxmlformats.org/officeDocument/2006/relationships/chart" Target="charts/chart1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Documents%20and%20Settings\VKononenko\Application%20Data\Microsoft\&#1064;&#1072;&#1073;&#1083;&#1086;&#1085;&#1099;\&#1055;&#1080;&#1089;&#1100;&#1084;&#1086;.dot"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file:///C:\Documents%20and%20Settings\&#1058;&#1088;&#1086;&#1089;&#1090;&#1103;&#1085;&#1089;&#1082;&#1072;&#1103;&#1051;&#1040;.ASTUMI\&#1052;&#1086;&#1080;%20&#1076;&#1086;&#1082;&#1091;&#1084;&#1077;&#1085;&#1090;&#1099;\&#1054;&#1058;&#1063;&#1045;&#1058;&#1067;\&#1054;&#1058;&#1063;&#1045;&#1058;%202014\&#1055;&#1056;&#1045;&#1047;&#1045;&#1053;&#1058;&#1040;&#1062;&#1048;&#1071;%202014\&#1043;&#1088;&#1072;&#1092;&#1080;&#1082;&#1080;.xlsx" TargetMode="External"/><Relationship Id="rId1" Type="http://schemas.openxmlformats.org/officeDocument/2006/relationships/image" Target="../media/image1.jpeg"/></Relationships>
</file>

<file path=word/charts/_rels/chart2.xml.rels><?xml version="1.0" encoding="UTF-8" standalone="yes"?>
<Relationships xmlns="http://schemas.openxmlformats.org/package/2006/relationships"><Relationship Id="rId2" Type="http://schemas.openxmlformats.org/officeDocument/2006/relationships/oleObject" Target="file:///C:\Documents%20and%20Settings\&#1058;&#1088;&#1086;&#1089;&#1090;&#1103;&#1085;&#1089;&#1082;&#1072;&#1103;&#1051;&#1040;.ASTUMI\&#1052;&#1086;&#1080;%20&#1076;&#1086;&#1082;&#1091;&#1084;&#1077;&#1085;&#1090;&#1099;\&#1054;&#1058;&#1063;&#1045;&#1058;&#1067;\&#1054;&#1058;&#1063;&#1045;&#1058;%202014\&#1055;&#1056;&#1045;&#1047;&#1045;&#1053;&#1058;&#1040;&#1062;&#1048;&#1071;%202014\&#1043;&#1088;&#1072;&#1092;&#1080;&#1082;&#1080;.xlsx" TargetMode="External"/><Relationship Id="rId1" Type="http://schemas.openxmlformats.org/officeDocument/2006/relationships/image" Target="../media/image2.jpeg"/></Relationships>
</file>

<file path=word/charts/_rels/chart3.xml.rels><?xml version="1.0" encoding="UTF-8" standalone="yes"?>
<Relationships xmlns="http://schemas.openxmlformats.org/package/2006/relationships"><Relationship Id="rId2" Type="http://schemas.openxmlformats.org/officeDocument/2006/relationships/oleObject" Target="file:///C:\Documents%20and%20Settings\&#1058;&#1088;&#1086;&#1089;&#1090;&#1103;&#1085;&#1089;&#1082;&#1072;&#1103;&#1051;&#1040;.ASTUMI\&#1052;&#1086;&#1080;%20&#1076;&#1086;&#1082;&#1091;&#1084;&#1077;&#1085;&#1090;&#1099;\&#1054;&#1058;&#1063;&#1045;&#1058;&#1067;\&#1054;&#1058;&#1063;&#1045;&#1058;%202014\&#1055;&#1056;&#1045;&#1047;&#1045;&#1053;&#1058;&#1040;&#1062;&#1048;&#1071;%202014\&#1043;&#1088;&#1072;&#1092;&#1080;&#1082;&#1080;%20&#1079;&#1072;%202014&#1075;.xlsx" TargetMode="External"/><Relationship Id="rId1" Type="http://schemas.openxmlformats.org/officeDocument/2006/relationships/image" Target="../media/image3.jpeg"/></Relationships>
</file>

<file path=word/charts/_rels/chart4.xml.rels><?xml version="1.0" encoding="UTF-8" standalone="yes"?>
<Relationships xmlns="http://schemas.openxmlformats.org/package/2006/relationships"><Relationship Id="rId3" Type="http://schemas.openxmlformats.org/officeDocument/2006/relationships/oleObject" Target="file:///C:\Documents%20and%20Settings\&#1058;&#1088;&#1086;&#1089;&#1090;&#1103;&#1085;&#1089;&#1082;&#1072;&#1103;&#1051;&#1040;.ASTUMI\&#1052;&#1086;&#1080;%20&#1076;&#1086;&#1082;&#1091;&#1084;&#1077;&#1085;&#1090;&#1099;\&#1054;&#1058;&#1063;&#1045;&#1058;&#1067;\&#1054;&#1058;&#1063;&#1045;&#1058;%202014\&#1055;&#1056;&#1045;&#1047;&#1045;&#1053;&#1058;&#1040;&#1062;&#1048;&#1071;%202014\&#1043;&#1088;&#1072;&#1092;&#1080;&#1082;&#1080;%20&#1079;&#1072;%202014&#1075;.xlsx" TargetMode="External"/><Relationship Id="rId2" Type="http://schemas.openxmlformats.org/officeDocument/2006/relationships/image" Target="../media/image5.jpeg"/><Relationship Id="rId1" Type="http://schemas.openxmlformats.org/officeDocument/2006/relationships/image" Target="../media/image4.jpeg"/></Relationships>
</file>

<file path=word/charts/_rels/chart5.xml.rels><?xml version="1.0" encoding="UTF-8" standalone="yes"?>
<Relationships xmlns="http://schemas.openxmlformats.org/package/2006/relationships"><Relationship Id="rId3" Type="http://schemas.openxmlformats.org/officeDocument/2006/relationships/oleObject" Target="file:///C:\Documents%20and%20Settings\&#1058;&#1088;&#1086;&#1089;&#1090;&#1103;&#1085;&#1089;&#1082;&#1072;&#1103;&#1051;&#1040;.ASTUMI\&#1052;&#1086;&#1080;%20&#1076;&#1086;&#1082;&#1091;&#1084;&#1077;&#1085;&#1090;&#1099;\&#1054;&#1058;&#1063;&#1045;&#1058;&#1067;\&#1054;&#1058;&#1063;&#1045;&#1058;%202014\&#1055;&#1056;&#1045;&#1047;&#1045;&#1053;&#1058;&#1040;&#1062;&#1048;&#1071;%202014\&#1043;&#1088;&#1072;&#1092;&#1080;&#1082;&#1080;%20&#1079;&#1072;%202014&#1075;.xlsx" TargetMode="External"/><Relationship Id="rId2" Type="http://schemas.openxmlformats.org/officeDocument/2006/relationships/image" Target="../media/image7.jpeg"/><Relationship Id="rId1" Type="http://schemas.openxmlformats.org/officeDocument/2006/relationships/image" Target="../media/image6.jpeg"/></Relationships>
</file>

<file path=word/charts/_rels/chart6.xml.rels><?xml version="1.0" encoding="UTF-8" standalone="yes"?>
<Relationships xmlns="http://schemas.openxmlformats.org/package/2006/relationships"><Relationship Id="rId2" Type="http://schemas.openxmlformats.org/officeDocument/2006/relationships/oleObject" Target="file:///C:\Documents%20and%20Settings\&#1058;&#1088;&#1086;&#1089;&#1090;&#1103;&#1085;&#1089;&#1082;&#1072;&#1103;&#1051;&#1040;.ASTUMI\&#1052;&#1086;&#1080;%20&#1076;&#1086;&#1082;&#1091;&#1084;&#1077;&#1085;&#1090;&#1099;\&#1054;&#1058;&#1063;&#1045;&#1058;&#1067;\&#1054;&#1058;&#1063;&#1045;&#1058;%202014\&#1055;&#1056;&#1045;&#1047;&#1045;&#1053;&#1058;&#1040;&#1062;&#1048;&#1071;%202014\&#1043;&#1088;&#1072;&#1092;&#1080;&#1082;&#1080;%20&#1079;&#1072;%202014&#1075;.xlsx" TargetMode="External"/><Relationship Id="rId1" Type="http://schemas.openxmlformats.org/officeDocument/2006/relationships/image" Target="../media/image6.jpeg"/></Relationships>
</file>

<file path=word/charts/_rels/chart7.xml.rels><?xml version="1.0" encoding="UTF-8" standalone="yes"?>
<Relationships xmlns="http://schemas.openxmlformats.org/package/2006/relationships"><Relationship Id="rId3" Type="http://schemas.openxmlformats.org/officeDocument/2006/relationships/oleObject" Target="file:///C:\Documents%20and%20Settings\&#1058;&#1088;&#1086;&#1089;&#1090;&#1103;&#1085;&#1089;&#1082;&#1072;&#1103;&#1051;&#1040;.ASTUMI\&#1052;&#1086;&#1080;%20&#1076;&#1086;&#1082;&#1091;&#1084;&#1077;&#1085;&#1090;&#1099;\&#1054;&#1058;&#1063;&#1045;&#1058;&#1067;\&#1054;&#1058;&#1063;&#1045;&#1058;%202014\&#1055;&#1056;&#1045;&#1047;&#1045;&#1053;&#1058;&#1040;&#1062;&#1048;&#1071;%202014\&#1043;&#1088;&#1072;&#1092;&#1080;&#1082;&#1080;.xlsx" TargetMode="External"/><Relationship Id="rId2" Type="http://schemas.openxmlformats.org/officeDocument/2006/relationships/image" Target="../media/image8.jpeg"/><Relationship Id="rId1" Type="http://schemas.openxmlformats.org/officeDocument/2006/relationships/image" Target="../media/image1.jpeg"/></Relationships>
</file>

<file path=word/charts/_rels/chart8.xml.rels><?xml version="1.0" encoding="UTF-8" standalone="yes"?>
<Relationships xmlns="http://schemas.openxmlformats.org/package/2006/relationships"><Relationship Id="rId1" Type="http://schemas.openxmlformats.org/officeDocument/2006/relationships/oleObject" Target="file:///C:\Documents%20and%20Settings\&#1058;&#1088;&#1086;&#1089;&#1090;&#1103;&#1085;&#1089;&#1082;&#1072;&#1103;&#1051;&#1040;.ASTUMI\&#1052;&#1086;&#1080;%20&#1076;&#1086;&#1082;&#1091;&#1084;&#1077;&#1085;&#1090;&#1099;\&#1054;&#1058;&#1063;&#1045;&#1058;&#1067;\&#1054;&#1058;&#1063;&#1045;&#1058;%202014\&#1055;&#1056;&#1045;&#1047;&#1045;&#1053;&#1058;&#1040;&#1062;&#1048;&#1071;%202014\&#1043;&#1088;&#1072;&#1092;&#1080;&#1082;&#1080;.xlsx" TargetMode="External"/></Relationships>
</file>

<file path=word/charts/_rels/chart9.xml.rels><?xml version="1.0" encoding="UTF-8" standalone="yes"?>
<Relationships xmlns="http://schemas.openxmlformats.org/package/2006/relationships"><Relationship Id="rId3" Type="http://schemas.openxmlformats.org/officeDocument/2006/relationships/oleObject" Target="file:///C:\Documents%20and%20Settings\&#1058;&#1088;&#1086;&#1089;&#1090;&#1103;&#1085;&#1089;&#1082;&#1072;&#1103;&#1051;&#1040;.ASTUMI\&#1052;&#1086;&#1080;%20&#1076;&#1086;&#1082;&#1091;&#1084;&#1077;&#1085;&#1090;&#1099;\&#1054;&#1058;&#1063;&#1045;&#1058;&#1067;\&#1054;&#1058;&#1063;&#1045;&#1058;%202014\&#1055;&#1056;&#1045;&#1047;&#1045;&#1053;&#1058;&#1040;&#1062;&#1048;&#1071;%202014\&#1043;&#1088;&#1072;&#1092;&#1080;&#1082;&#1080;.xlsx" TargetMode="External"/><Relationship Id="rId2" Type="http://schemas.openxmlformats.org/officeDocument/2006/relationships/image" Target="../media/image2.jpeg"/><Relationship Id="rId1" Type="http://schemas.openxmlformats.org/officeDocument/2006/relationships/image" Target="../media/image7.jpeg"/></Relationships>
</file>

<file path=word/charts/_rels/chart10.xml.rels><?xml version="1.0" encoding="UTF-8" standalone="yes"?>
<Relationships xmlns="http://schemas.openxmlformats.org/package/2006/relationships"><Relationship Id="rId2" Type="http://schemas.openxmlformats.org/officeDocument/2006/relationships/oleObject" Target="file:///C:\Documents%20and%20Settings\&#1058;&#1088;&#1086;&#1089;&#1090;&#1103;&#1085;&#1089;&#1082;&#1072;&#1103;&#1051;&#1040;.ASTUMI\&#1052;&#1086;&#1080;%20&#1076;&#1086;&#1082;&#1091;&#1084;&#1077;&#1085;&#1090;&#1099;\&#1054;&#1058;&#1063;&#1045;&#1058;&#1067;\&#1054;&#1058;&#1063;&#1045;&#1058;%202014\&#1055;&#1056;&#1045;&#1047;&#1045;&#1053;&#1058;&#1040;&#1062;&#1048;&#1071;%202014\&#1043;&#1088;&#1072;&#1092;&#1080;&#1082;%20&#1079;&#1072;%202014&#1075;%20&#1087;&#1086;%20&#1088;&#1077;&#1077;&#1089;&#1090;&#1088;&#1091;.xls" TargetMode="External"/><Relationship Id="rId1" Type="http://schemas.openxmlformats.org/officeDocument/2006/relationships/image" Target="../media/image9.jpeg"/></Relationships>
</file>

<file path=word/charts/_rels/chart11.xml.rels><?xml version="1.0" encoding="UTF-8" standalone="yes"?>
<Relationships xmlns="http://schemas.openxmlformats.org/package/2006/relationships"><Relationship Id="rId2" Type="http://schemas.openxmlformats.org/officeDocument/2006/relationships/oleObject" Target="file:///C:\Documents%20and%20Settings\&#1058;&#1088;&#1086;&#1089;&#1090;&#1103;&#1085;&#1089;&#1082;&#1072;&#1103;&#1051;&#1040;.ASTUMI\&#1052;&#1086;&#1080;%20&#1076;&#1086;&#1082;&#1091;&#1084;&#1077;&#1085;&#1090;&#1099;\&#1054;&#1058;&#1063;&#1045;&#1058;&#1067;\&#1054;&#1058;&#1063;&#1045;&#1058;%202014\&#1055;&#1056;&#1045;&#1047;&#1045;&#1053;&#1058;&#1040;&#1062;&#1048;&#1071;%202014\&#1043;&#1088;&#1072;&#1092;&#1080;&#1082;&#1080;.xlsx" TargetMode="External"/><Relationship Id="rId1" Type="http://schemas.openxmlformats.org/officeDocument/2006/relationships/image" Target="../media/image7.jpeg"/></Relationships>
</file>

<file path=word/charts/_rels/chart12.xml.rels><?xml version="1.0" encoding="UTF-8" standalone="yes"?>
<Relationships xmlns="http://schemas.openxmlformats.org/package/2006/relationships"><Relationship Id="rId2" Type="http://schemas.openxmlformats.org/officeDocument/2006/relationships/oleObject" Target="file:///C:\Documents%20and%20Settings\&#1058;&#1088;&#1086;&#1089;&#1090;&#1103;&#1085;&#1089;&#1082;&#1072;&#1103;&#1051;&#1040;.ASTUMI\&#1052;&#1086;&#1080;%20&#1076;&#1086;&#1082;&#1091;&#1084;&#1077;&#1085;&#1090;&#1099;\&#1054;&#1058;&#1063;&#1045;&#1058;&#1067;\&#1054;&#1058;&#1063;&#1045;&#1058;%202014\&#1055;&#1056;&#1045;&#1047;&#1045;&#1053;&#1058;&#1040;&#1062;&#1048;&#1071;%202014\&#1043;&#1088;&#1072;&#1092;&#1080;&#1082;&#1080;.xlsx" TargetMode="External"/><Relationship Id="rId1" Type="http://schemas.openxmlformats.org/officeDocument/2006/relationships/image" Target="../media/image7.jpeg"/></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a:latin typeface="Arial" pitchFamily="34" charset="0"/>
                <a:cs typeface="Arial" pitchFamily="34" charset="0"/>
              </a:defRPr>
            </a:pPr>
            <a:r>
              <a:rPr lang="ru-RU" sz="1100">
                <a:latin typeface="Arial" pitchFamily="34" charset="0"/>
                <a:cs typeface="Arial" pitchFamily="34" charset="0"/>
              </a:rPr>
              <a:t>Фактическое поступление по видам доходов</a:t>
            </a:r>
          </a:p>
        </c:rich>
      </c:tx>
      <c:layout>
        <c:manualLayout>
          <c:xMode val="edge"/>
          <c:yMode val="edge"/>
          <c:x val="0.14999012852083587"/>
          <c:y val="1.8897637795275625E-2"/>
        </c:manualLayout>
      </c:layout>
      <c:overlay val="1"/>
      <c:spPr>
        <a:solidFill>
          <a:schemeClr val="bg1"/>
        </a:solidFill>
        <a:ln>
          <a:solidFill>
            <a:schemeClr val="tx1"/>
          </a:solidFill>
        </a:ln>
      </c:spPr>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15846326641602279"/>
          <c:y val="0.23110908064819544"/>
          <c:w val="0.69748534687601949"/>
          <c:h val="0.59784759969520018"/>
        </c:manualLayout>
      </c:layout>
      <c:pie3DChart>
        <c:varyColors val="1"/>
        <c:ser>
          <c:idx val="0"/>
          <c:order val="0"/>
          <c:explosion val="25"/>
          <c:dPt>
            <c:idx val="2"/>
            <c:bubble3D val="0"/>
            <c:spPr>
              <a:solidFill>
                <a:srgbClr val="FF6600"/>
              </a:solidFill>
            </c:spPr>
          </c:dPt>
          <c:dPt>
            <c:idx val="4"/>
            <c:bubble3D val="0"/>
            <c:spPr>
              <a:solidFill>
                <a:srgbClr val="339933"/>
              </a:solidFill>
            </c:spPr>
          </c:dPt>
          <c:dLbls>
            <c:dLbl>
              <c:idx val="0"/>
              <c:layout>
                <c:manualLayout>
                  <c:x val="7.0017808057680778E-2"/>
                  <c:y val="3.9896777608681294E-2"/>
                </c:manualLayout>
              </c:layout>
              <c:tx>
                <c:rich>
                  <a:bodyPr/>
                  <a:lstStyle/>
                  <a:p>
                    <a:pPr>
                      <a:defRPr sz="800" b="1">
                        <a:latin typeface="Times New Roman" pitchFamily="18" charset="0"/>
                        <a:cs typeface="Times New Roman" pitchFamily="18" charset="0"/>
                      </a:defRPr>
                    </a:pPr>
                    <a:r>
                      <a:rPr lang="ru-RU" sz="800"/>
                      <a:t>Приватизация 139 млн.руб.</a:t>
                    </a:r>
                  </a:p>
                </c:rich>
              </c:tx>
              <c:spPr/>
              <c:dLblPos val="bestFit"/>
              <c:showLegendKey val="0"/>
              <c:showVal val="1"/>
              <c:showCatName val="1"/>
              <c:showSerName val="0"/>
              <c:showPercent val="0"/>
              <c:showBubbleSize val="0"/>
            </c:dLbl>
            <c:dLbl>
              <c:idx val="1"/>
              <c:layout>
                <c:manualLayout>
                  <c:x val="0"/>
                  <c:y val="0.12835989357985533"/>
                </c:manualLayout>
              </c:layout>
              <c:tx>
                <c:rich>
                  <a:bodyPr/>
                  <a:lstStyle/>
                  <a:p>
                    <a:pPr>
                      <a:defRPr sz="800" b="1">
                        <a:latin typeface="Times New Roman" pitchFamily="18" charset="0"/>
                        <a:cs typeface="Times New Roman" pitchFamily="18" charset="0"/>
                      </a:defRPr>
                    </a:pPr>
                    <a:r>
                      <a:rPr lang="ru-RU" sz="800"/>
                      <a:t>Аренда                 земли              310 млн.руб.</a:t>
                    </a:r>
                  </a:p>
                </c:rich>
              </c:tx>
              <c:spPr/>
              <c:dLblPos val="bestFit"/>
              <c:showLegendKey val="0"/>
              <c:showVal val="1"/>
              <c:showCatName val="1"/>
              <c:showSerName val="0"/>
              <c:showPercent val="0"/>
              <c:showBubbleSize val="0"/>
            </c:dLbl>
            <c:dLbl>
              <c:idx val="2"/>
              <c:layout>
                <c:manualLayout>
                  <c:x val="0.20528741339764989"/>
                  <c:y val="-1.5921456916861448E-2"/>
                </c:manualLayout>
              </c:layout>
              <c:tx>
                <c:rich>
                  <a:bodyPr/>
                  <a:lstStyle/>
                  <a:p>
                    <a:pPr>
                      <a:defRPr sz="800" b="1">
                        <a:latin typeface="Times New Roman" pitchFamily="18" charset="0"/>
                        <a:cs typeface="Times New Roman" pitchFamily="18" charset="0"/>
                      </a:defRPr>
                    </a:pPr>
                    <a:r>
                      <a:rPr lang="ru-RU" sz="800"/>
                      <a:t>Право аренды земли                          114 млн.руб.</a:t>
                    </a:r>
                  </a:p>
                </c:rich>
              </c:tx>
              <c:spPr/>
              <c:dLblPos val="bestFit"/>
              <c:showLegendKey val="0"/>
              <c:showVal val="1"/>
              <c:showCatName val="1"/>
              <c:showSerName val="0"/>
              <c:showPercent val="0"/>
              <c:showBubbleSize val="0"/>
            </c:dLbl>
            <c:dLbl>
              <c:idx val="3"/>
              <c:layout>
                <c:manualLayout>
                  <c:x val="-0.1114602834253085"/>
                  <c:y val="1.267071385996414E-2"/>
                </c:manualLayout>
              </c:layout>
              <c:tx>
                <c:rich>
                  <a:bodyPr/>
                  <a:lstStyle/>
                  <a:p>
                    <a:pPr>
                      <a:defRPr sz="800" b="1">
                        <a:latin typeface="Times New Roman" pitchFamily="18" charset="0"/>
                        <a:cs typeface="Times New Roman" pitchFamily="18" charset="0"/>
                      </a:defRPr>
                    </a:pPr>
                    <a:r>
                      <a:rPr lang="ru-RU" sz="800"/>
                      <a:t>Продажа                земли                     72 млн.руб.</a:t>
                    </a:r>
                  </a:p>
                </c:rich>
              </c:tx>
              <c:spPr/>
              <c:dLblPos val="bestFit"/>
              <c:showLegendKey val="0"/>
              <c:showVal val="1"/>
              <c:showCatName val="1"/>
              <c:showSerName val="0"/>
              <c:showPercent val="0"/>
              <c:showBubbleSize val="0"/>
            </c:dLbl>
            <c:dLbl>
              <c:idx val="4"/>
              <c:layout>
                <c:manualLayout>
                  <c:x val="-7.2408944911636309E-3"/>
                  <c:y val="-8.5803348042514244E-2"/>
                </c:manualLayout>
              </c:layout>
              <c:tx>
                <c:rich>
                  <a:bodyPr/>
                  <a:lstStyle/>
                  <a:p>
                    <a:pPr>
                      <a:defRPr sz="800" b="1">
                        <a:latin typeface="Times New Roman" pitchFamily="18" charset="0"/>
                        <a:cs typeface="Times New Roman" pitchFamily="18" charset="0"/>
                      </a:defRPr>
                    </a:pPr>
                    <a:r>
                      <a:rPr lang="ru-RU" sz="800"/>
                      <a:t>Земельный налог                  393 млн.руб.</a:t>
                    </a:r>
                  </a:p>
                </c:rich>
              </c:tx>
              <c:spPr/>
              <c:dLblPos val="bestFit"/>
              <c:showLegendKey val="0"/>
              <c:showVal val="1"/>
              <c:showCatName val="1"/>
              <c:showSerName val="0"/>
              <c:showPercent val="0"/>
              <c:showBubbleSize val="0"/>
            </c:dLbl>
            <c:dLbl>
              <c:idx val="5"/>
              <c:layout>
                <c:manualLayout>
                  <c:x val="-9.6962721500119184E-2"/>
                  <c:y val="1.0591853183706371E-2"/>
                </c:manualLayout>
              </c:layout>
              <c:tx>
                <c:rich>
                  <a:bodyPr/>
                  <a:lstStyle/>
                  <a:p>
                    <a:r>
                      <a:rPr lang="ru-RU"/>
                      <a:t>Продажа                        земли
72 млн.руб.</a:t>
                    </a:r>
                  </a:p>
                </c:rich>
              </c:tx>
              <c:dLblPos val="bestFit"/>
              <c:showLegendKey val="0"/>
              <c:showVal val="1"/>
              <c:showCatName val="1"/>
              <c:showSerName val="0"/>
              <c:showPercent val="0"/>
              <c:showBubbleSize val="0"/>
            </c:dLbl>
            <c:dLbl>
              <c:idx val="6"/>
              <c:layout>
                <c:manualLayout>
                  <c:x val="3.9999275517759508E-3"/>
                  <c:y val="-0.10282857422559961"/>
                </c:manualLayout>
              </c:layout>
              <c:tx>
                <c:rich>
                  <a:bodyPr/>
                  <a:lstStyle/>
                  <a:p>
                    <a:r>
                      <a:rPr lang="ru-RU"/>
                      <a:t>Земельный         налог                              393 млн.руб.</a:t>
                    </a:r>
                  </a:p>
                </c:rich>
              </c:tx>
              <c:dLblPos val="bestFit"/>
              <c:showLegendKey val="0"/>
              <c:showVal val="1"/>
              <c:showCatName val="1"/>
              <c:showSerName val="0"/>
              <c:showPercent val="0"/>
              <c:showBubbleSize val="0"/>
            </c:dLbl>
            <c:txPr>
              <a:bodyPr/>
              <a:lstStyle/>
              <a:p>
                <a:pPr>
                  <a:defRPr sz="900" b="1">
                    <a:latin typeface="Times New Roman" pitchFamily="18" charset="0"/>
                    <a:cs typeface="Times New Roman" pitchFamily="18" charset="0"/>
                  </a:defRPr>
                </a:pPr>
                <a:endParaRPr lang="ru-RU"/>
              </a:p>
            </c:txPr>
            <c:dLblPos val="outEnd"/>
            <c:showLegendKey val="0"/>
            <c:showVal val="1"/>
            <c:showCatName val="1"/>
            <c:showSerName val="0"/>
            <c:showPercent val="0"/>
            <c:showBubbleSize val="0"/>
            <c:showLeaderLines val="1"/>
          </c:dLbls>
          <c:cat>
            <c:strRef>
              <c:f>'Доля доходов по видам-1'!$B$12:$B$16</c:f>
              <c:strCache>
                <c:ptCount val="5"/>
                <c:pt idx="0">
                  <c:v>Приватизация</c:v>
                </c:pt>
                <c:pt idx="1">
                  <c:v>Аренда земли</c:v>
                </c:pt>
                <c:pt idx="2">
                  <c:v>Право аренды земли</c:v>
                </c:pt>
                <c:pt idx="3">
                  <c:v>Продажа земли</c:v>
                </c:pt>
                <c:pt idx="4">
                  <c:v>Земельный налог</c:v>
                </c:pt>
              </c:strCache>
            </c:strRef>
          </c:cat>
          <c:val>
            <c:numRef>
              <c:f>'Доля доходов по видам-1'!$C$12:$C$16</c:f>
              <c:numCache>
                <c:formatCode>#,##0</c:formatCode>
                <c:ptCount val="5"/>
                <c:pt idx="0">
                  <c:v>139</c:v>
                </c:pt>
                <c:pt idx="1">
                  <c:v>310</c:v>
                </c:pt>
                <c:pt idx="2">
                  <c:v>114</c:v>
                </c:pt>
                <c:pt idx="3">
                  <c:v>72</c:v>
                </c:pt>
                <c:pt idx="4">
                  <c:v>393</c:v>
                </c:pt>
              </c:numCache>
            </c:numRef>
          </c:val>
        </c:ser>
        <c:dLbls>
          <c:showLegendKey val="0"/>
          <c:showVal val="1"/>
          <c:showCatName val="0"/>
          <c:showSerName val="0"/>
          <c:showPercent val="0"/>
          <c:showBubbleSize val="0"/>
          <c:showLeaderLines val="1"/>
        </c:dLbls>
      </c:pie3DChart>
    </c:plotArea>
    <c:plotVisOnly val="1"/>
    <c:dispBlanksAs val="gap"/>
    <c:showDLblsOverMax val="0"/>
  </c:chart>
  <c:spPr>
    <a:blipFill>
      <a:blip xmlns:r="http://schemas.openxmlformats.org/officeDocument/2006/relationships" r:embed="rId1"/>
      <a:tile tx="0" ty="0" sx="100000" sy="100000" flip="none" algn="tl"/>
    </a:blipFill>
    <a:ln w="15875">
      <a:solidFill>
        <a:schemeClr val="bg1">
          <a:lumMod val="50000"/>
        </a:schemeClr>
      </a:solidFill>
    </a:ln>
  </c:sp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a:latin typeface="Arial" pitchFamily="34" charset="0"/>
                <a:cs typeface="Arial" pitchFamily="34" charset="0"/>
              </a:defRPr>
            </a:pPr>
            <a:r>
              <a:rPr lang="ru-RU" sz="1000">
                <a:latin typeface="Arial" pitchFamily="34" charset="0"/>
                <a:cs typeface="Arial" pitchFamily="34" charset="0"/>
              </a:rPr>
              <a:t>Доля расходов</a:t>
            </a:r>
            <a:r>
              <a:rPr lang="ru-RU" sz="1000" baseline="0">
                <a:latin typeface="Arial" pitchFamily="34" charset="0"/>
                <a:cs typeface="Arial" pitchFamily="34" charset="0"/>
              </a:rPr>
              <a:t> </a:t>
            </a:r>
            <a:r>
              <a:rPr lang="ru-RU" sz="1000">
                <a:latin typeface="Arial" pitchFamily="34" charset="0"/>
                <a:cs typeface="Arial" pitchFamily="34" charset="0"/>
              </a:rPr>
              <a:t>в объеме доходов </a:t>
            </a:r>
            <a:r>
              <a:rPr lang="ru-RU" sz="1000" baseline="0">
                <a:latin typeface="Arial" pitchFamily="34" charset="0"/>
                <a:cs typeface="Arial" pitchFamily="34" charset="0"/>
              </a:rPr>
              <a:t> управления </a:t>
            </a:r>
            <a:endParaRPr lang="ru-RU" sz="1000">
              <a:latin typeface="Arial" pitchFamily="34" charset="0"/>
              <a:cs typeface="Arial" pitchFamily="34" charset="0"/>
            </a:endParaRPr>
          </a:p>
        </c:rich>
      </c:tx>
      <c:layout>
        <c:manualLayout>
          <c:xMode val="edge"/>
          <c:yMode val="edge"/>
          <c:x val="0.20758082796468594"/>
          <c:y val="2.4466217740881941E-2"/>
        </c:manualLayout>
      </c:layout>
      <c:overlay val="0"/>
      <c:spPr>
        <a:solidFill>
          <a:schemeClr val="bg1"/>
        </a:solidFill>
        <a:ln w="6350">
          <a:solidFill>
            <a:schemeClr val="tx1"/>
          </a:solidFill>
        </a:ln>
      </c:spPr>
    </c:title>
    <c:autoTitleDeleted val="0"/>
    <c:view3D>
      <c:rotX val="10"/>
      <c:rotY val="20"/>
      <c:rAngAx val="1"/>
    </c:view3D>
    <c:floor>
      <c:thickness val="0"/>
      <c:spPr>
        <a:solidFill>
          <a:schemeClr val="bg1">
            <a:lumMod val="75000"/>
          </a:schemeClr>
        </a:solidFill>
      </c:spPr>
    </c:floor>
    <c:sideWall>
      <c:thickness val="0"/>
    </c:sideWall>
    <c:backWall>
      <c:thickness val="0"/>
    </c:backWall>
    <c:plotArea>
      <c:layout/>
      <c:bar3DChart>
        <c:barDir val="col"/>
        <c:grouping val="stacked"/>
        <c:varyColors val="0"/>
        <c:ser>
          <c:idx val="0"/>
          <c:order val="0"/>
          <c:invertIfNegative val="0"/>
          <c:dPt>
            <c:idx val="0"/>
            <c:invertIfNegative val="0"/>
            <c:bubble3D val="0"/>
            <c:spPr>
              <a:solidFill>
                <a:srgbClr val="FF0000"/>
              </a:solidFill>
              <a:ln w="38100">
                <a:solidFill>
                  <a:srgbClr val="FF0000"/>
                </a:solidFill>
              </a:ln>
            </c:spPr>
          </c:dPt>
          <c:dPt>
            <c:idx val="1"/>
            <c:invertIfNegative val="0"/>
            <c:bubble3D val="0"/>
            <c:spPr>
              <a:solidFill>
                <a:srgbClr val="006600"/>
              </a:solidFill>
              <a:ln>
                <a:solidFill>
                  <a:srgbClr val="006600"/>
                </a:solidFill>
              </a:ln>
            </c:spPr>
          </c:dPt>
          <c:dLbls>
            <c:dLbl>
              <c:idx val="0"/>
              <c:layout>
                <c:manualLayout>
                  <c:x val="2.3417533801182635E-2"/>
                  <c:y val="-0.36608048993875802"/>
                </c:manualLayout>
              </c:layout>
              <c:tx>
                <c:rich>
                  <a:bodyPr/>
                  <a:lstStyle/>
                  <a:p>
                    <a:r>
                      <a:rPr lang="en-US"/>
                      <a:t>1 </a:t>
                    </a:r>
                    <a:r>
                      <a:rPr lang="ru-RU"/>
                      <a:t>млрд. </a:t>
                    </a:r>
                    <a:r>
                      <a:rPr lang="en-US"/>
                      <a:t>7</a:t>
                    </a:r>
                    <a:r>
                      <a:rPr lang="ru-RU"/>
                      <a:t>5 млн.руб.</a:t>
                    </a:r>
                    <a:endParaRPr lang="en-US"/>
                  </a:p>
                </c:rich>
              </c:tx>
              <c:showLegendKey val="0"/>
              <c:showVal val="1"/>
              <c:showCatName val="0"/>
              <c:showSerName val="0"/>
              <c:showPercent val="0"/>
              <c:showBubbleSize val="0"/>
            </c:dLbl>
            <c:dLbl>
              <c:idx val="1"/>
              <c:layout>
                <c:manualLayout>
                  <c:x val="4.3408226453962764E-2"/>
                  <c:y val="-0.17993000874890641"/>
                </c:manualLayout>
              </c:layout>
              <c:tx>
                <c:rich>
                  <a:bodyPr/>
                  <a:lstStyle/>
                  <a:p>
                    <a:r>
                      <a:rPr lang="en-US"/>
                      <a:t>107</a:t>
                    </a:r>
                    <a:r>
                      <a:rPr lang="ru-RU"/>
                      <a:t> млн.руб.</a:t>
                    </a:r>
                    <a:endParaRPr lang="en-US"/>
                  </a:p>
                </c:rich>
              </c:tx>
              <c:showLegendKey val="0"/>
              <c:showVal val="1"/>
              <c:showCatName val="0"/>
              <c:showSerName val="0"/>
              <c:showPercent val="0"/>
              <c:showBubbleSize val="0"/>
            </c:dLbl>
            <c:txPr>
              <a:bodyPr/>
              <a:lstStyle/>
              <a:p>
                <a:pPr>
                  <a:defRPr sz="800" b="1">
                    <a:latin typeface="Arial" pitchFamily="34" charset="0"/>
                    <a:cs typeface="Arial" pitchFamily="34" charset="0"/>
                  </a:defRPr>
                </a:pPr>
                <a:endParaRPr lang="ru-RU"/>
              </a:p>
            </c:txPr>
            <c:showLegendKey val="0"/>
            <c:showVal val="1"/>
            <c:showCatName val="0"/>
            <c:showSerName val="0"/>
            <c:showPercent val="0"/>
            <c:showBubbleSize val="0"/>
            <c:showLeaderLines val="0"/>
          </c:dLbls>
          <c:cat>
            <c:strRef>
              <c:f>'Доля расходов-2'!$A$9:$A$10</c:f>
              <c:strCache>
                <c:ptCount val="2"/>
                <c:pt idx="0">
                  <c:v>Доходы управления</c:v>
                </c:pt>
                <c:pt idx="1">
                  <c:v>Расходы управления</c:v>
                </c:pt>
              </c:strCache>
            </c:strRef>
          </c:cat>
          <c:val>
            <c:numRef>
              <c:f>'Доля расходов-2'!$B$9:$B$10</c:f>
              <c:numCache>
                <c:formatCode>#,##0</c:formatCode>
                <c:ptCount val="2"/>
                <c:pt idx="0">
                  <c:v>1074806</c:v>
                </c:pt>
                <c:pt idx="1">
                  <c:v>107029</c:v>
                </c:pt>
              </c:numCache>
            </c:numRef>
          </c:val>
        </c:ser>
        <c:dLbls>
          <c:showLegendKey val="0"/>
          <c:showVal val="1"/>
          <c:showCatName val="0"/>
          <c:showSerName val="0"/>
          <c:showPercent val="0"/>
          <c:showBubbleSize val="0"/>
        </c:dLbls>
        <c:gapWidth val="150"/>
        <c:shape val="cylinder"/>
        <c:axId val="88276352"/>
        <c:axId val="89728128"/>
        <c:axId val="0"/>
      </c:bar3DChart>
      <c:catAx>
        <c:axId val="88276352"/>
        <c:scaling>
          <c:orientation val="minMax"/>
        </c:scaling>
        <c:delete val="0"/>
        <c:axPos val="b"/>
        <c:majorTickMark val="out"/>
        <c:minorTickMark val="none"/>
        <c:tickLblPos val="nextTo"/>
        <c:txPr>
          <a:bodyPr/>
          <a:lstStyle/>
          <a:p>
            <a:pPr>
              <a:defRPr sz="800" b="1">
                <a:latin typeface="Arial" pitchFamily="34" charset="0"/>
                <a:cs typeface="Arial" pitchFamily="34" charset="0"/>
              </a:defRPr>
            </a:pPr>
            <a:endParaRPr lang="ru-RU"/>
          </a:p>
        </c:txPr>
        <c:crossAx val="89728128"/>
        <c:crosses val="autoZero"/>
        <c:auto val="1"/>
        <c:lblAlgn val="ctr"/>
        <c:lblOffset val="100"/>
        <c:noMultiLvlLbl val="0"/>
      </c:catAx>
      <c:valAx>
        <c:axId val="89728128"/>
        <c:scaling>
          <c:orientation val="minMax"/>
          <c:max val="1200000"/>
          <c:min val="0"/>
        </c:scaling>
        <c:delete val="0"/>
        <c:axPos val="l"/>
        <c:majorGridlines/>
        <c:numFmt formatCode="#,##0" sourceLinked="1"/>
        <c:majorTickMark val="out"/>
        <c:minorTickMark val="none"/>
        <c:tickLblPos val="nextTo"/>
        <c:txPr>
          <a:bodyPr/>
          <a:lstStyle/>
          <a:p>
            <a:pPr>
              <a:defRPr sz="800" b="1">
                <a:latin typeface="Arial" pitchFamily="34" charset="0"/>
                <a:cs typeface="Arial" pitchFamily="34" charset="0"/>
              </a:defRPr>
            </a:pPr>
            <a:endParaRPr lang="ru-RU"/>
          </a:p>
        </c:txPr>
        <c:crossAx val="88276352"/>
        <c:crosses val="autoZero"/>
        <c:crossBetween val="between"/>
        <c:majorUnit val="200000"/>
      </c:valAx>
    </c:plotArea>
    <c:plotVisOnly val="1"/>
    <c:dispBlanksAs val="gap"/>
    <c:showDLblsOverMax val="0"/>
  </c:chart>
  <c:spPr>
    <a:blipFill>
      <a:blip xmlns:r="http://schemas.openxmlformats.org/officeDocument/2006/relationships" r:embed="rId1"/>
      <a:tile tx="0" ty="0" sx="100000" sy="100000" flip="none" algn="tl"/>
    </a:blipFill>
    <a:ln w="22225">
      <a:solidFill>
        <a:schemeClr val="accent6">
          <a:lumMod val="50000"/>
          <a:alpha val="98000"/>
        </a:schemeClr>
      </a:solidFill>
    </a:ln>
  </c:sp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a:latin typeface="Times New Roman" pitchFamily="18" charset="0"/>
                <a:cs typeface="Times New Roman" pitchFamily="18" charset="0"/>
              </a:defRPr>
            </a:pPr>
            <a:r>
              <a:rPr lang="ru-RU" sz="1100">
                <a:latin typeface="Times New Roman" pitchFamily="18" charset="0"/>
                <a:cs typeface="Times New Roman" pitchFamily="18" charset="0"/>
              </a:rPr>
              <a:t>Продажа права аренды земельных участков на торгах  (млн.руб.)</a:t>
            </a:r>
          </a:p>
        </c:rich>
      </c:tx>
      <c:overlay val="0"/>
      <c:spPr>
        <a:solidFill>
          <a:schemeClr val="bg1"/>
        </a:solidFill>
        <a:ln>
          <a:solidFill>
            <a:sysClr val="windowText" lastClr="000000"/>
          </a:solidFill>
        </a:ln>
      </c:spPr>
    </c:title>
    <c:autoTitleDeleted val="0"/>
    <c:view3D>
      <c:rotX val="15"/>
      <c:rotY val="20"/>
      <c:rAngAx val="1"/>
    </c:view3D>
    <c:floor>
      <c:thickness val="0"/>
    </c:floor>
    <c:sideWall>
      <c:thickness val="0"/>
    </c:sideWall>
    <c:backWall>
      <c:thickness val="0"/>
    </c:backWall>
    <c:plotArea>
      <c:layout/>
      <c:bar3DChart>
        <c:barDir val="bar"/>
        <c:grouping val="clustered"/>
        <c:varyColors val="0"/>
        <c:ser>
          <c:idx val="0"/>
          <c:order val="0"/>
          <c:tx>
            <c:strRef>
              <c:f>'Стоимость права ар. зем.уч.-3 '!$A$3</c:f>
              <c:strCache>
                <c:ptCount val="1"/>
                <c:pt idx="0">
                  <c:v>Стоимость продажи права аренды земельных участков (млн.руб.)</c:v>
                </c:pt>
              </c:strCache>
            </c:strRef>
          </c:tx>
          <c:invertIfNegative val="0"/>
          <c:dPt>
            <c:idx val="0"/>
            <c:invertIfNegative val="0"/>
            <c:bubble3D val="0"/>
            <c:spPr>
              <a:solidFill>
                <a:srgbClr val="FFFF00"/>
              </a:solidFill>
            </c:spPr>
          </c:dPt>
          <c:dPt>
            <c:idx val="1"/>
            <c:invertIfNegative val="0"/>
            <c:bubble3D val="0"/>
            <c:spPr>
              <a:solidFill>
                <a:srgbClr val="D60093"/>
              </a:solidFill>
            </c:spPr>
          </c:dPt>
          <c:dLbls>
            <c:dLbl>
              <c:idx val="0"/>
              <c:layout>
                <c:manualLayout>
                  <c:x val="-9.1666666666666882E-2"/>
                  <c:y val="-0.12037073490813661"/>
                </c:manualLayout>
              </c:layout>
              <c:tx>
                <c:rich>
                  <a:bodyPr/>
                  <a:lstStyle/>
                  <a:p>
                    <a:r>
                      <a:rPr lang="en-US" b="1">
                        <a:latin typeface="Times New Roman" pitchFamily="18" charset="0"/>
                        <a:cs typeface="Times New Roman" pitchFamily="18" charset="0"/>
                      </a:rPr>
                      <a:t>6</a:t>
                    </a:r>
                    <a:r>
                      <a:rPr lang="en-US"/>
                      <a:t>2,7</a:t>
                    </a:r>
                    <a:r>
                      <a:rPr lang="ru-RU"/>
                      <a:t> млн.руб.</a:t>
                    </a:r>
                    <a:endParaRPr lang="en-US"/>
                  </a:p>
                </c:rich>
              </c:tx>
              <c:showLegendKey val="0"/>
              <c:showVal val="1"/>
              <c:showCatName val="0"/>
              <c:showSerName val="0"/>
              <c:showPercent val="0"/>
              <c:showBubbleSize val="0"/>
            </c:dLbl>
            <c:dLbl>
              <c:idx val="1"/>
              <c:layout>
                <c:manualLayout>
                  <c:x val="-0.11388888888888885"/>
                  <c:y val="-0.15277777777777779"/>
                </c:manualLayout>
              </c:layout>
              <c:tx>
                <c:rich>
                  <a:bodyPr/>
                  <a:lstStyle/>
                  <a:p>
                    <a:r>
                      <a:rPr lang="en-US" b="1">
                        <a:latin typeface="Times New Roman" pitchFamily="18" charset="0"/>
                        <a:cs typeface="Times New Roman" pitchFamily="18" charset="0"/>
                      </a:rPr>
                      <a:t>9</a:t>
                    </a:r>
                    <a:r>
                      <a:rPr lang="en-US"/>
                      <a:t>5,0</a:t>
                    </a:r>
                    <a:r>
                      <a:rPr lang="ru-RU"/>
                      <a:t> млн.руб.</a:t>
                    </a:r>
                    <a:endParaRPr lang="en-US"/>
                  </a:p>
                </c:rich>
              </c:tx>
              <c:showLegendKey val="0"/>
              <c:showVal val="1"/>
              <c:showCatName val="0"/>
              <c:showSerName val="0"/>
              <c:showPercent val="0"/>
              <c:showBubbleSize val="0"/>
            </c:dLbl>
            <c:txPr>
              <a:bodyPr/>
              <a:lstStyle/>
              <a:p>
                <a:pPr>
                  <a:defRPr b="1">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'Стоимость права ар. зем.уч.-3 '!$B$2:$C$2</c:f>
              <c:strCache>
                <c:ptCount val="2"/>
                <c:pt idx="0">
                  <c:v>2013 год</c:v>
                </c:pt>
                <c:pt idx="1">
                  <c:v>2014 год</c:v>
                </c:pt>
              </c:strCache>
            </c:strRef>
          </c:cat>
          <c:val>
            <c:numRef>
              <c:f>'Стоимость права ар. зем.уч.-3 '!$B$3:$C$3</c:f>
              <c:numCache>
                <c:formatCode>#,##0.0</c:formatCode>
                <c:ptCount val="2"/>
                <c:pt idx="0">
                  <c:v>62.7</c:v>
                </c:pt>
                <c:pt idx="1">
                  <c:v>95</c:v>
                </c:pt>
              </c:numCache>
            </c:numRef>
          </c:val>
        </c:ser>
        <c:dLbls>
          <c:showLegendKey val="0"/>
          <c:showVal val="0"/>
          <c:showCatName val="0"/>
          <c:showSerName val="0"/>
          <c:showPercent val="0"/>
          <c:showBubbleSize val="0"/>
        </c:dLbls>
        <c:gapWidth val="150"/>
        <c:shape val="cylinder"/>
        <c:axId val="89757952"/>
        <c:axId val="89772032"/>
        <c:axId val="0"/>
      </c:bar3DChart>
      <c:catAx>
        <c:axId val="89757952"/>
        <c:scaling>
          <c:orientation val="minMax"/>
        </c:scaling>
        <c:delete val="0"/>
        <c:axPos val="l"/>
        <c:majorTickMark val="out"/>
        <c:minorTickMark val="none"/>
        <c:tickLblPos val="nextTo"/>
        <c:txPr>
          <a:bodyPr/>
          <a:lstStyle/>
          <a:p>
            <a:pPr>
              <a:defRPr b="1">
                <a:latin typeface="Times New Roman" pitchFamily="18" charset="0"/>
                <a:cs typeface="Times New Roman" pitchFamily="18" charset="0"/>
              </a:defRPr>
            </a:pPr>
            <a:endParaRPr lang="ru-RU"/>
          </a:p>
        </c:txPr>
        <c:crossAx val="89772032"/>
        <c:crosses val="autoZero"/>
        <c:auto val="1"/>
        <c:lblAlgn val="ctr"/>
        <c:lblOffset val="100"/>
        <c:noMultiLvlLbl val="0"/>
      </c:catAx>
      <c:valAx>
        <c:axId val="89772032"/>
        <c:scaling>
          <c:orientation val="minMax"/>
        </c:scaling>
        <c:delete val="0"/>
        <c:axPos val="b"/>
        <c:majorGridlines/>
        <c:numFmt formatCode="#,##0.0" sourceLinked="1"/>
        <c:majorTickMark val="out"/>
        <c:minorTickMark val="none"/>
        <c:tickLblPos val="nextTo"/>
        <c:txPr>
          <a:bodyPr/>
          <a:lstStyle/>
          <a:p>
            <a:pPr>
              <a:defRPr sz="900" b="1">
                <a:latin typeface="Times New Roman" pitchFamily="18" charset="0"/>
                <a:cs typeface="Times New Roman" pitchFamily="18" charset="0"/>
              </a:defRPr>
            </a:pPr>
            <a:endParaRPr lang="ru-RU"/>
          </a:p>
        </c:txPr>
        <c:crossAx val="89757952"/>
        <c:crosses val="autoZero"/>
        <c:crossBetween val="between"/>
      </c:valAx>
    </c:plotArea>
    <c:plotVisOnly val="1"/>
    <c:dispBlanksAs val="gap"/>
    <c:showDLblsOverMax val="0"/>
  </c:chart>
  <c:spPr>
    <a:blipFill>
      <a:blip xmlns:r="http://schemas.openxmlformats.org/officeDocument/2006/relationships" r:embed="rId1"/>
      <a:tile tx="0" ty="0" sx="100000" sy="100000" flip="none" algn="tl"/>
    </a:blipFill>
    <a:ln w="15875">
      <a:solidFill>
        <a:schemeClr val="bg1">
          <a:lumMod val="50000"/>
        </a:schemeClr>
      </a:solidFill>
    </a:ln>
  </c:sp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a:t>Фактические доходы от продажи права аренды земельных участков</a:t>
            </a:r>
          </a:p>
        </c:rich>
      </c:tx>
      <c:overlay val="0"/>
      <c:spPr>
        <a:solidFill>
          <a:sysClr val="window" lastClr="FFFFFF"/>
        </a:solidFill>
        <a:ln>
          <a:solidFill>
            <a:schemeClr val="tx1"/>
          </a:solidFill>
        </a:ln>
      </c:spPr>
    </c:title>
    <c:autoTitleDeleted val="0"/>
    <c:view3D>
      <c:rotX val="15"/>
      <c:rotY val="20"/>
      <c:rAngAx val="1"/>
    </c:view3D>
    <c:floor>
      <c:thickness val="0"/>
      <c:spPr>
        <a:blipFill>
          <a:blip xmlns:r="http://schemas.openxmlformats.org/officeDocument/2006/relationships" r:embed="rId1"/>
          <a:tile tx="0" ty="0" sx="100000" sy="100000" flip="none" algn="tl"/>
        </a:blipFill>
      </c:spPr>
    </c:floor>
    <c:sideWall>
      <c:thickness val="0"/>
    </c:sideWall>
    <c:backWall>
      <c:thickness val="0"/>
    </c:backWall>
    <c:plotArea>
      <c:layout/>
      <c:bar3DChart>
        <c:barDir val="col"/>
        <c:grouping val="clustered"/>
        <c:varyColors val="0"/>
        <c:ser>
          <c:idx val="0"/>
          <c:order val="0"/>
          <c:tx>
            <c:strRef>
              <c:f>'Доходы от права аре.земли -4'!$A$3</c:f>
              <c:strCache>
                <c:ptCount val="1"/>
                <c:pt idx="0">
                  <c:v>Фактические доходы от продажи права аренды земельных участков (млн.руб.)</c:v>
                </c:pt>
              </c:strCache>
            </c:strRef>
          </c:tx>
          <c:spPr>
            <a:solidFill>
              <a:srgbClr val="0000CC"/>
            </a:solidFill>
          </c:spPr>
          <c:invertIfNegative val="0"/>
          <c:dPt>
            <c:idx val="0"/>
            <c:invertIfNegative val="1"/>
            <c:bubble3D val="0"/>
            <c:spPr>
              <a:solidFill>
                <a:srgbClr val="00B050"/>
              </a:solidFill>
            </c:spPr>
          </c:dPt>
          <c:dPt>
            <c:idx val="1"/>
            <c:invertIfNegative val="0"/>
            <c:bubble3D val="0"/>
            <c:spPr>
              <a:solidFill>
                <a:srgbClr val="FF0000"/>
              </a:solidFill>
            </c:spPr>
          </c:dPt>
          <c:dLbls>
            <c:dLbl>
              <c:idx val="0"/>
              <c:layout>
                <c:manualLayout>
                  <c:x val="3.6502943885588689E-2"/>
                  <c:y val="-6.1507993319017004E-2"/>
                </c:manualLayout>
              </c:layout>
              <c:tx>
                <c:rich>
                  <a:bodyPr/>
                  <a:lstStyle/>
                  <a:p>
                    <a:r>
                      <a:rPr lang="en-US"/>
                      <a:t>50</a:t>
                    </a:r>
                    <a:r>
                      <a:rPr lang="ru-RU"/>
                      <a:t> млн.руб.</a:t>
                    </a:r>
                    <a:endParaRPr lang="en-US"/>
                  </a:p>
                </c:rich>
              </c:tx>
              <c:showLegendKey val="0"/>
              <c:showVal val="1"/>
              <c:showCatName val="0"/>
              <c:showSerName val="0"/>
              <c:showPercent val="0"/>
              <c:showBubbleSize val="0"/>
            </c:dLbl>
            <c:dLbl>
              <c:idx val="1"/>
              <c:layout>
                <c:manualLayout>
                  <c:x val="3.0730793592360153E-2"/>
                  <c:y val="-4.7619047619047623E-2"/>
                </c:manualLayout>
              </c:layout>
              <c:tx>
                <c:rich>
                  <a:bodyPr/>
                  <a:lstStyle/>
                  <a:p>
                    <a:r>
                      <a:rPr lang="en-US"/>
                      <a:t>114</a:t>
                    </a:r>
                    <a:r>
                      <a:rPr lang="ru-RU"/>
                      <a:t> млн.руб.</a:t>
                    </a:r>
                    <a:endParaRPr lang="en-US"/>
                  </a:p>
                </c:rich>
              </c:tx>
              <c:showLegendKey val="0"/>
              <c:showVal val="1"/>
              <c:showCatName val="0"/>
              <c:showSerName val="0"/>
              <c:showPercent val="0"/>
              <c:showBubbleSize val="0"/>
            </c:dLbl>
            <c:dLbl>
              <c:idx val="2"/>
              <c:layout>
                <c:manualLayout>
                  <c:x val="-1.1544011544011561E-2"/>
                  <c:y val="0"/>
                </c:manualLayout>
              </c:layout>
              <c:showLegendKey val="0"/>
              <c:showVal val="1"/>
              <c:showCatName val="0"/>
              <c:showSerName val="0"/>
              <c:showPercent val="0"/>
              <c:showBubbleSize val="0"/>
            </c:dLbl>
            <c:dLbl>
              <c:idx val="3"/>
              <c:layout>
                <c:manualLayout>
                  <c:x val="-1.5392015392015441E-2"/>
                  <c:y val="-3.2407407407407531E-2"/>
                </c:manualLayout>
              </c:layout>
              <c:showLegendKey val="0"/>
              <c:showVal val="1"/>
              <c:showCatName val="0"/>
              <c:showSerName val="0"/>
              <c:showPercent val="0"/>
              <c:showBubbleSize val="0"/>
            </c:dLbl>
            <c:dLbl>
              <c:idx val="4"/>
              <c:layout>
                <c:manualLayout>
                  <c:x val="0"/>
                  <c:y val="-4.1666666666666664E-2"/>
                </c:manualLayout>
              </c:layout>
              <c:showLegendKey val="0"/>
              <c:showVal val="1"/>
              <c:showCatName val="0"/>
              <c:showSerName val="0"/>
              <c:showPercent val="0"/>
              <c:showBubbleSize val="0"/>
            </c:dLbl>
            <c:dLbl>
              <c:idx val="5"/>
              <c:layout>
                <c:manualLayout>
                  <c:x val="-1.9240019240018647E-3"/>
                  <c:y val="-3.2407407407407531E-2"/>
                </c:manualLayout>
              </c:layout>
              <c:showLegendKey val="0"/>
              <c:showVal val="1"/>
              <c:showCatName val="0"/>
              <c:showSerName val="0"/>
              <c:showPercent val="0"/>
              <c:showBubbleSize val="0"/>
            </c:dLbl>
            <c:dLbl>
              <c:idx val="6"/>
              <c:layout>
                <c:manualLayout>
                  <c:x val="0"/>
                  <c:y val="-1.3888888888888944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'Доходы от права аре.земли -4'!$B$2:$C$2</c:f>
              <c:strCache>
                <c:ptCount val="2"/>
                <c:pt idx="0">
                  <c:v>2013 год</c:v>
                </c:pt>
                <c:pt idx="1">
                  <c:v>2014 год</c:v>
                </c:pt>
              </c:strCache>
            </c:strRef>
          </c:cat>
          <c:val>
            <c:numRef>
              <c:f>'Доходы от права аре.земли -4'!$B$3:$C$3</c:f>
              <c:numCache>
                <c:formatCode>General</c:formatCode>
                <c:ptCount val="2"/>
                <c:pt idx="0">
                  <c:v>50</c:v>
                </c:pt>
                <c:pt idx="1">
                  <c:v>114</c:v>
                </c:pt>
              </c:numCache>
            </c:numRef>
          </c:val>
        </c:ser>
        <c:dLbls>
          <c:showLegendKey val="0"/>
          <c:showVal val="1"/>
          <c:showCatName val="0"/>
          <c:showSerName val="0"/>
          <c:showPercent val="0"/>
          <c:showBubbleSize val="0"/>
        </c:dLbls>
        <c:gapWidth val="150"/>
        <c:shape val="cylinder"/>
        <c:axId val="90846336"/>
        <c:axId val="90847872"/>
        <c:axId val="0"/>
      </c:bar3DChart>
      <c:catAx>
        <c:axId val="90846336"/>
        <c:scaling>
          <c:orientation val="minMax"/>
        </c:scaling>
        <c:delete val="0"/>
        <c:axPos val="b"/>
        <c:majorTickMark val="out"/>
        <c:minorTickMark val="none"/>
        <c:tickLblPos val="nextTo"/>
        <c:crossAx val="90847872"/>
        <c:crosses val="autoZero"/>
        <c:auto val="1"/>
        <c:lblAlgn val="ctr"/>
        <c:lblOffset val="100"/>
        <c:noMultiLvlLbl val="0"/>
      </c:catAx>
      <c:valAx>
        <c:axId val="90847872"/>
        <c:scaling>
          <c:orientation val="minMax"/>
        </c:scaling>
        <c:delete val="0"/>
        <c:axPos val="l"/>
        <c:majorGridlines/>
        <c:numFmt formatCode="General" sourceLinked="1"/>
        <c:majorTickMark val="out"/>
        <c:minorTickMark val="none"/>
        <c:tickLblPos val="nextTo"/>
        <c:crossAx val="90846336"/>
        <c:crosses val="autoZero"/>
        <c:crossBetween val="between"/>
      </c:valAx>
    </c:plotArea>
    <c:legend>
      <c:legendPos val="b"/>
      <c:overlay val="0"/>
      <c:spPr>
        <a:solidFill>
          <a:sysClr val="window" lastClr="FFFFFF"/>
        </a:solidFill>
        <a:ln>
          <a:solidFill>
            <a:sysClr val="windowText" lastClr="000000"/>
          </a:solidFill>
        </a:ln>
      </c:spPr>
    </c:legend>
    <c:plotVisOnly val="1"/>
    <c:dispBlanksAs val="gap"/>
    <c:showDLblsOverMax val="0"/>
  </c:chart>
  <c:spPr>
    <a:blipFill>
      <a:blip xmlns:r="http://schemas.openxmlformats.org/officeDocument/2006/relationships" r:embed="rId2"/>
      <a:tile tx="0" ty="0" sx="100000" sy="100000" flip="none" algn="tl"/>
    </a:blipFill>
    <a:ln w="22225">
      <a:solidFill>
        <a:srgbClr val="996633"/>
      </a:solidFill>
    </a:ln>
  </c:spPr>
  <c:txPr>
    <a:bodyPr/>
    <a:lstStyle/>
    <a:p>
      <a:pPr>
        <a:defRPr sz="800" b="1" i="0">
          <a:latin typeface="Times New Roman" pitchFamily="18" charset="0"/>
          <a:cs typeface="Times New Roman" pitchFamily="18" charset="0"/>
        </a:defRPr>
      </a:pPr>
      <a:endParaRPr lang="ru-RU"/>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itchFamily="18" charset="0"/>
                <a:cs typeface="Times New Roman" pitchFamily="18" charset="0"/>
              </a:defRPr>
            </a:pPr>
            <a:r>
              <a:rPr lang="ru-RU"/>
              <a:t>Фактические доходы по продаже земельных участков </a:t>
            </a:r>
          </a:p>
        </c:rich>
      </c:tx>
      <c:overlay val="0"/>
      <c:spPr>
        <a:solidFill>
          <a:schemeClr val="bg1"/>
        </a:solidFill>
        <a:ln>
          <a:solidFill>
            <a:sysClr val="window" lastClr="FFFFFF">
              <a:lumMod val="50000"/>
            </a:sysClr>
          </a:solidFill>
        </a:ln>
      </c:spPr>
    </c:title>
    <c:autoTitleDeleted val="0"/>
    <c:view3D>
      <c:rotX val="15"/>
      <c:rotY val="20"/>
      <c:rAngAx val="1"/>
    </c:view3D>
    <c:floor>
      <c:thickness val="0"/>
      <c:spPr>
        <a:blipFill>
          <a:blip xmlns:r="http://schemas.openxmlformats.org/officeDocument/2006/relationships" r:embed="rId1"/>
          <a:tile tx="0" ty="0" sx="100000" sy="100000" flip="none" algn="tl"/>
        </a:blipFill>
      </c:spPr>
    </c:floor>
    <c:sideWall>
      <c:thickness val="0"/>
    </c:sideWall>
    <c:backWall>
      <c:thickness val="0"/>
    </c:backWall>
    <c:plotArea>
      <c:layout/>
      <c:bar3DChart>
        <c:barDir val="col"/>
        <c:grouping val="clustered"/>
        <c:varyColors val="0"/>
        <c:ser>
          <c:idx val="0"/>
          <c:order val="0"/>
          <c:tx>
            <c:strRef>
              <c:f>'Продажа зем.участков - 5'!$A$3</c:f>
              <c:strCache>
                <c:ptCount val="1"/>
                <c:pt idx="0">
                  <c:v>Фактические доходы по продаже земельных участков (млн.руб.)</c:v>
                </c:pt>
              </c:strCache>
            </c:strRef>
          </c:tx>
          <c:invertIfNegative val="0"/>
          <c:dPt>
            <c:idx val="0"/>
            <c:invertIfNegative val="0"/>
            <c:bubble3D val="0"/>
            <c:spPr>
              <a:blipFill>
                <a:blip xmlns:r="http://schemas.openxmlformats.org/officeDocument/2006/relationships" r:embed="rId2"/>
                <a:tile tx="0" ty="0" sx="100000" sy="100000" flip="none" algn="tl"/>
              </a:blipFill>
            </c:spPr>
          </c:dPt>
          <c:dPt>
            <c:idx val="1"/>
            <c:invertIfNegative val="0"/>
            <c:bubble3D val="0"/>
            <c:spPr>
              <a:solidFill>
                <a:srgbClr val="CC00CC"/>
              </a:solidFill>
            </c:spPr>
          </c:dPt>
          <c:dLbls>
            <c:dLbl>
              <c:idx val="0"/>
              <c:layout>
                <c:manualLayout>
                  <c:x val="2.7777777777777842E-2"/>
                  <c:y val="-9.2592592592592813E-3"/>
                </c:manualLayout>
              </c:layout>
              <c:tx>
                <c:rich>
                  <a:bodyPr/>
                  <a:lstStyle/>
                  <a:p>
                    <a:r>
                      <a:rPr lang="en-US"/>
                      <a:t>46</a:t>
                    </a:r>
                    <a:r>
                      <a:rPr lang="ru-RU"/>
                      <a:t> млн.руб.</a:t>
                    </a:r>
                    <a:endParaRPr lang="en-US"/>
                  </a:p>
                </c:rich>
              </c:tx>
              <c:showLegendKey val="0"/>
              <c:showVal val="1"/>
              <c:showCatName val="0"/>
              <c:showSerName val="0"/>
              <c:showPercent val="0"/>
              <c:showBubbleSize val="0"/>
            </c:dLbl>
            <c:dLbl>
              <c:idx val="1"/>
              <c:layout>
                <c:manualLayout>
                  <c:x val="2.7777777777777861E-3"/>
                  <c:y val="-2.3148148148148147E-2"/>
                </c:manualLayout>
              </c:layout>
              <c:tx>
                <c:rich>
                  <a:bodyPr/>
                  <a:lstStyle/>
                  <a:p>
                    <a:r>
                      <a:rPr lang="en-US"/>
                      <a:t>72</a:t>
                    </a:r>
                    <a:r>
                      <a:rPr lang="ru-RU"/>
                      <a:t> млн.руб.</a:t>
                    </a:r>
                    <a:endParaRPr lang="en-US"/>
                  </a:p>
                </c:rich>
              </c:tx>
              <c:showLegendKey val="0"/>
              <c:showVal val="1"/>
              <c:showCatName val="0"/>
              <c:showSerName val="0"/>
              <c:showPercent val="0"/>
              <c:showBubbleSize val="0"/>
            </c:dLbl>
            <c:txPr>
              <a:bodyPr/>
              <a:lstStyle/>
              <a:p>
                <a:pPr>
                  <a:defRPr sz="1000" b="1">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'Продажа зем.участков - 5'!$B$2:$C$2</c:f>
              <c:strCache>
                <c:ptCount val="2"/>
                <c:pt idx="0">
                  <c:v>2013 год</c:v>
                </c:pt>
                <c:pt idx="1">
                  <c:v>2014 год</c:v>
                </c:pt>
              </c:strCache>
            </c:strRef>
          </c:cat>
          <c:val>
            <c:numRef>
              <c:f>'Продажа зем.участков - 5'!$B$3:$C$3</c:f>
              <c:numCache>
                <c:formatCode>#,##0</c:formatCode>
                <c:ptCount val="2"/>
                <c:pt idx="0">
                  <c:v>46</c:v>
                </c:pt>
                <c:pt idx="1">
                  <c:v>72</c:v>
                </c:pt>
              </c:numCache>
            </c:numRef>
          </c:val>
        </c:ser>
        <c:dLbls>
          <c:showLegendKey val="0"/>
          <c:showVal val="1"/>
          <c:showCatName val="0"/>
          <c:showSerName val="0"/>
          <c:showPercent val="0"/>
          <c:showBubbleSize val="0"/>
        </c:dLbls>
        <c:gapWidth val="150"/>
        <c:shape val="pyramid"/>
        <c:axId val="90902912"/>
        <c:axId val="90904448"/>
        <c:axId val="0"/>
      </c:bar3DChart>
      <c:catAx>
        <c:axId val="90902912"/>
        <c:scaling>
          <c:orientation val="minMax"/>
        </c:scaling>
        <c:delete val="0"/>
        <c:axPos val="b"/>
        <c:majorTickMark val="out"/>
        <c:minorTickMark val="none"/>
        <c:tickLblPos val="nextTo"/>
        <c:txPr>
          <a:bodyPr/>
          <a:lstStyle/>
          <a:p>
            <a:pPr>
              <a:defRPr sz="900" b="1">
                <a:latin typeface="Times New Roman" pitchFamily="18" charset="0"/>
                <a:cs typeface="Times New Roman" pitchFamily="18" charset="0"/>
              </a:defRPr>
            </a:pPr>
            <a:endParaRPr lang="ru-RU"/>
          </a:p>
        </c:txPr>
        <c:crossAx val="90904448"/>
        <c:crosses val="autoZero"/>
        <c:auto val="1"/>
        <c:lblAlgn val="ctr"/>
        <c:lblOffset val="100"/>
        <c:noMultiLvlLbl val="0"/>
      </c:catAx>
      <c:valAx>
        <c:axId val="90904448"/>
        <c:scaling>
          <c:orientation val="minMax"/>
          <c:max val="75"/>
          <c:min val="0"/>
        </c:scaling>
        <c:delete val="0"/>
        <c:axPos val="l"/>
        <c:majorGridlines/>
        <c:numFmt formatCode="#,##0" sourceLinked="1"/>
        <c:majorTickMark val="out"/>
        <c:minorTickMark val="none"/>
        <c:tickLblPos val="nextTo"/>
        <c:txPr>
          <a:bodyPr/>
          <a:lstStyle/>
          <a:p>
            <a:pPr>
              <a:defRPr sz="900" b="1">
                <a:latin typeface="Times New Roman" pitchFamily="18" charset="0"/>
                <a:cs typeface="Times New Roman" pitchFamily="18" charset="0"/>
              </a:defRPr>
            </a:pPr>
            <a:endParaRPr lang="ru-RU"/>
          </a:p>
        </c:txPr>
        <c:crossAx val="90902912"/>
        <c:crosses val="autoZero"/>
        <c:crossBetween val="between"/>
        <c:majorUnit val="15"/>
      </c:valAx>
    </c:plotArea>
    <c:plotVisOnly val="1"/>
    <c:dispBlanksAs val="gap"/>
    <c:showDLblsOverMax val="0"/>
  </c:chart>
  <c:spPr>
    <a:solidFill>
      <a:schemeClr val="bg1">
        <a:lumMod val="85000"/>
      </a:schemeClr>
    </a:solidFill>
    <a:ln w="15875"/>
  </c:sp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solidFill>
          <a:schemeClr val="bg1"/>
        </a:solidFill>
        <a:ln>
          <a:solidFill>
            <a:sysClr val="window" lastClr="FFFFFF">
              <a:lumMod val="50000"/>
            </a:sysClr>
          </a:solidFill>
        </a:ln>
      </c:spPr>
      <c:txPr>
        <a:bodyPr/>
        <a:lstStyle/>
        <a:p>
          <a:pPr>
            <a:defRPr sz="1200">
              <a:latin typeface="Times New Roman" pitchFamily="18" charset="0"/>
              <a:cs typeface="Times New Roman" pitchFamily="18" charset="0"/>
            </a:defRPr>
          </a:pPr>
          <a:endParaRPr lang="ru-RU"/>
        </a:p>
      </c:txPr>
    </c:title>
    <c:autoTitleDeleted val="0"/>
    <c:view3D>
      <c:rotX val="15"/>
      <c:rotY val="20"/>
      <c:rAngAx val="1"/>
    </c:view3D>
    <c:floor>
      <c:thickness val="0"/>
      <c:spPr>
        <a:blipFill>
          <a:blip xmlns:r="http://schemas.openxmlformats.org/officeDocument/2006/relationships" r:embed="rId1"/>
          <a:tile tx="0" ty="0" sx="100000" sy="100000" flip="none" algn="tl"/>
        </a:blipFill>
      </c:spPr>
    </c:floor>
    <c:sideWall>
      <c:thickness val="0"/>
    </c:sideWall>
    <c:backWall>
      <c:thickness val="0"/>
    </c:backWall>
    <c:plotArea>
      <c:layout/>
      <c:bar3DChart>
        <c:barDir val="col"/>
        <c:grouping val="clustered"/>
        <c:varyColors val="0"/>
        <c:ser>
          <c:idx val="0"/>
          <c:order val="0"/>
          <c:tx>
            <c:strRef>
              <c:f>'Земельный налог - 6'!$A$3</c:f>
              <c:strCache>
                <c:ptCount val="1"/>
                <c:pt idx="0">
                  <c:v>Фактические доходы по земельному налогу</c:v>
                </c:pt>
              </c:strCache>
            </c:strRef>
          </c:tx>
          <c:invertIfNegative val="0"/>
          <c:dPt>
            <c:idx val="0"/>
            <c:invertIfNegative val="0"/>
            <c:bubble3D val="0"/>
            <c:spPr>
              <a:solidFill>
                <a:srgbClr val="3366FF"/>
              </a:solidFill>
            </c:spPr>
          </c:dPt>
          <c:dPt>
            <c:idx val="1"/>
            <c:invertIfNegative val="0"/>
            <c:bubble3D val="0"/>
            <c:spPr>
              <a:solidFill>
                <a:srgbClr val="FF0000"/>
              </a:solidFill>
            </c:spPr>
          </c:dPt>
          <c:dLbls>
            <c:dLbl>
              <c:idx val="0"/>
              <c:layout>
                <c:manualLayout>
                  <c:x val="3.6111111111111149E-2"/>
                  <c:y val="-7.8703703703703734E-2"/>
                </c:manualLayout>
              </c:layout>
              <c:tx>
                <c:rich>
                  <a:bodyPr/>
                  <a:lstStyle/>
                  <a:p>
                    <a:r>
                      <a:rPr lang="en-US"/>
                      <a:t>328</a:t>
                    </a:r>
                    <a:r>
                      <a:rPr lang="ru-RU"/>
                      <a:t> млн.руб.</a:t>
                    </a:r>
                    <a:endParaRPr lang="en-US"/>
                  </a:p>
                </c:rich>
              </c:tx>
              <c:showLegendKey val="0"/>
              <c:showVal val="1"/>
              <c:showCatName val="0"/>
              <c:showSerName val="0"/>
              <c:showPercent val="0"/>
              <c:showBubbleSize val="0"/>
            </c:dLbl>
            <c:dLbl>
              <c:idx val="1"/>
              <c:layout>
                <c:manualLayout>
                  <c:x val="2.0775593759826481E-2"/>
                  <c:y val="-3.3227417369289018E-2"/>
                </c:manualLayout>
              </c:layout>
              <c:tx>
                <c:rich>
                  <a:bodyPr/>
                  <a:lstStyle/>
                  <a:p>
                    <a:r>
                      <a:rPr lang="en-US"/>
                      <a:t>393</a:t>
                    </a:r>
                    <a:r>
                      <a:rPr lang="ru-RU"/>
                      <a:t> млн.руб.</a:t>
                    </a:r>
                    <a:endParaRPr lang="en-US"/>
                  </a:p>
                </c:rich>
              </c:tx>
              <c:showLegendKey val="0"/>
              <c:showVal val="1"/>
              <c:showCatName val="0"/>
              <c:showSerName val="0"/>
              <c:showPercent val="0"/>
              <c:showBubbleSize val="0"/>
            </c:dLbl>
            <c:txPr>
              <a:bodyPr/>
              <a:lstStyle/>
              <a:p>
                <a:pPr>
                  <a:defRPr b="1">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'Земельный налог - 6'!$B$2:$C$2</c:f>
              <c:strCache>
                <c:ptCount val="2"/>
                <c:pt idx="0">
                  <c:v>2013 год</c:v>
                </c:pt>
                <c:pt idx="1">
                  <c:v>2014 год</c:v>
                </c:pt>
              </c:strCache>
            </c:strRef>
          </c:cat>
          <c:val>
            <c:numRef>
              <c:f>'Земельный налог - 6'!$B$3:$C$3</c:f>
              <c:numCache>
                <c:formatCode>#,##0</c:formatCode>
                <c:ptCount val="2"/>
                <c:pt idx="0">
                  <c:v>328</c:v>
                </c:pt>
                <c:pt idx="1">
                  <c:v>393</c:v>
                </c:pt>
              </c:numCache>
            </c:numRef>
          </c:val>
          <c:shape val="box"/>
        </c:ser>
        <c:dLbls>
          <c:showLegendKey val="0"/>
          <c:showVal val="0"/>
          <c:showCatName val="0"/>
          <c:showSerName val="0"/>
          <c:showPercent val="0"/>
          <c:showBubbleSize val="0"/>
        </c:dLbls>
        <c:gapWidth val="150"/>
        <c:shape val="pyramid"/>
        <c:axId val="90938752"/>
        <c:axId val="90944640"/>
        <c:axId val="0"/>
      </c:bar3DChart>
      <c:catAx>
        <c:axId val="90938752"/>
        <c:scaling>
          <c:orientation val="minMax"/>
        </c:scaling>
        <c:delete val="0"/>
        <c:axPos val="b"/>
        <c:majorTickMark val="out"/>
        <c:minorTickMark val="none"/>
        <c:tickLblPos val="nextTo"/>
        <c:txPr>
          <a:bodyPr/>
          <a:lstStyle/>
          <a:p>
            <a:pPr>
              <a:defRPr sz="900" b="1">
                <a:latin typeface="Times New Roman" pitchFamily="18" charset="0"/>
                <a:cs typeface="Times New Roman" pitchFamily="18" charset="0"/>
              </a:defRPr>
            </a:pPr>
            <a:endParaRPr lang="ru-RU"/>
          </a:p>
        </c:txPr>
        <c:crossAx val="90944640"/>
        <c:crosses val="autoZero"/>
        <c:auto val="1"/>
        <c:lblAlgn val="ctr"/>
        <c:lblOffset val="100"/>
        <c:noMultiLvlLbl val="0"/>
      </c:catAx>
      <c:valAx>
        <c:axId val="90944640"/>
        <c:scaling>
          <c:orientation val="minMax"/>
          <c:min val="0"/>
        </c:scaling>
        <c:delete val="0"/>
        <c:axPos val="l"/>
        <c:majorGridlines/>
        <c:numFmt formatCode="#,##0" sourceLinked="1"/>
        <c:majorTickMark val="out"/>
        <c:minorTickMark val="none"/>
        <c:tickLblPos val="nextTo"/>
        <c:txPr>
          <a:bodyPr/>
          <a:lstStyle/>
          <a:p>
            <a:pPr>
              <a:defRPr sz="900" b="1">
                <a:latin typeface="Times New Roman" pitchFamily="18" charset="0"/>
                <a:cs typeface="Times New Roman" pitchFamily="18" charset="0"/>
              </a:defRPr>
            </a:pPr>
            <a:endParaRPr lang="ru-RU"/>
          </a:p>
        </c:txPr>
        <c:crossAx val="90938752"/>
        <c:crosses val="autoZero"/>
        <c:crossBetween val="between"/>
        <c:majorUnit val="200"/>
      </c:valAx>
    </c:plotArea>
    <c:plotVisOnly val="1"/>
    <c:dispBlanksAs val="gap"/>
    <c:showDLblsOverMax val="0"/>
  </c:chart>
  <c:spPr>
    <a:gradFill flip="none" rotWithShape="1">
      <a:gsLst>
        <a:gs pos="0">
          <a:srgbClr val="8488C4"/>
        </a:gs>
        <a:gs pos="53000">
          <a:srgbClr val="D4DEFF"/>
        </a:gs>
        <a:gs pos="83000">
          <a:srgbClr val="D4DEFF"/>
        </a:gs>
        <a:gs pos="100000">
          <a:srgbClr val="96AB94"/>
        </a:gs>
      </a:gsLst>
      <a:lin ang="16200000" scaled="1"/>
      <a:tileRect/>
    </a:gradFill>
    <a:ln w="15875"/>
  </c:sp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50" b="0" i="0" u="none" strike="noStrike" baseline="0">
                <a:solidFill>
                  <a:srgbClr val="000000"/>
                </a:solidFill>
                <a:latin typeface="Arial Cyr"/>
                <a:ea typeface="Arial Cyr"/>
                <a:cs typeface="Arial Cyr"/>
              </a:defRPr>
            </a:pPr>
            <a:r>
              <a:rPr lang="ru-RU" sz="1100" b="1" i="0" u="none" strike="noStrike" baseline="0">
                <a:solidFill>
                  <a:srgbClr val="000000"/>
                </a:solidFill>
                <a:latin typeface="Arial Cyr"/>
                <a:cs typeface="Arial Cyr"/>
              </a:rPr>
              <a:t>Динамика продажи объектов   </a:t>
            </a:r>
            <a:r>
              <a:rPr lang="ru-RU" sz="1200" b="1" i="0" u="none" strike="noStrike" baseline="0">
                <a:solidFill>
                  <a:srgbClr val="000000"/>
                </a:solidFill>
                <a:latin typeface="Arial Cyr"/>
                <a:cs typeface="Arial Cyr"/>
              </a:rPr>
              <a:t>                                         </a:t>
            </a:r>
            <a:r>
              <a:rPr lang="ru-RU" sz="1000" b="1" i="1" u="none" strike="noStrike" baseline="0">
                <a:solidFill>
                  <a:srgbClr val="000000"/>
                </a:solidFill>
                <a:latin typeface="Arial Cyr"/>
                <a:cs typeface="Arial Cyr"/>
              </a:rPr>
              <a:t>(количество объектов)</a:t>
            </a:r>
          </a:p>
        </c:rich>
      </c:tx>
      <c:layout>
        <c:manualLayout>
          <c:xMode val="edge"/>
          <c:yMode val="edge"/>
          <c:x val="0.27929687500000094"/>
          <c:y val="1.6722408026755918E-2"/>
        </c:manualLayout>
      </c:layout>
      <c:overlay val="0"/>
      <c:spPr>
        <a:solidFill>
          <a:schemeClr val="bg1"/>
        </a:solidFill>
        <a:ln w="9525">
          <a:solidFill>
            <a:schemeClr val="tx1"/>
          </a:solidFill>
          <a:prstDash val="solid"/>
        </a:ln>
      </c:spPr>
    </c:title>
    <c:autoTitleDeleted val="0"/>
    <c:plotArea>
      <c:layout>
        <c:manualLayout>
          <c:layoutTarget val="inner"/>
          <c:xMode val="edge"/>
          <c:yMode val="edge"/>
          <c:x val="0.11914062500000012"/>
          <c:y val="0.23745819397993373"/>
          <c:w val="0.828125000000002"/>
          <c:h val="0.55518394648829461"/>
        </c:manualLayout>
      </c:layout>
      <c:barChart>
        <c:barDir val="bar"/>
        <c:grouping val="clustered"/>
        <c:varyColors val="0"/>
        <c:ser>
          <c:idx val="0"/>
          <c:order val="0"/>
          <c:tx>
            <c:strRef>
              <c:f>'Продажа объектов -3'!$B$15</c:f>
              <c:strCache>
                <c:ptCount val="1"/>
                <c:pt idx="0">
                  <c:v>Выставлено</c:v>
                </c:pt>
              </c:strCache>
            </c:strRef>
          </c:tx>
          <c:spPr>
            <a:gradFill rotWithShape="0">
              <a:gsLst>
                <a:gs pos="0">
                  <a:srgbClr val="0000FF"/>
                </a:gs>
                <a:gs pos="50000">
                  <a:srgbClr val="99CCFF"/>
                </a:gs>
                <a:gs pos="100000">
                  <a:srgbClr val="0000FF"/>
                </a:gs>
              </a:gsLst>
              <a:lin ang="5400000" scaled="1"/>
            </a:gradFill>
            <a:ln w="12700">
              <a:solidFill>
                <a:srgbClr val="000000"/>
              </a:solidFill>
              <a:prstDash val="solid"/>
            </a:ln>
          </c:spPr>
          <c:invertIfNegative val="0"/>
          <c:dLbls>
            <c:spPr>
              <a:noFill/>
              <a:ln w="25400">
                <a:noFill/>
              </a:ln>
            </c:spPr>
            <c:txPr>
              <a:bodyPr/>
              <a:lstStyle/>
              <a:p>
                <a:pPr>
                  <a:defRPr sz="1050" b="1" i="0" u="none" strike="noStrike" baseline="0">
                    <a:solidFill>
                      <a:srgbClr val="000000"/>
                    </a:solidFill>
                    <a:latin typeface="Arial Cyr"/>
                    <a:ea typeface="Arial Cyr"/>
                    <a:cs typeface="Arial Cyr"/>
                  </a:defRPr>
                </a:pPr>
                <a:endParaRPr lang="ru-RU"/>
              </a:p>
            </c:txPr>
            <c:showLegendKey val="0"/>
            <c:showVal val="1"/>
            <c:showCatName val="0"/>
            <c:showSerName val="0"/>
            <c:showPercent val="0"/>
            <c:showBubbleSize val="0"/>
            <c:showLeaderLines val="0"/>
          </c:dLbls>
          <c:cat>
            <c:strRef>
              <c:f>'Продажа объектов -3'!$A$16</c:f>
              <c:strCache>
                <c:ptCount val="1"/>
                <c:pt idx="0">
                  <c:v>2014г</c:v>
                </c:pt>
              </c:strCache>
            </c:strRef>
          </c:cat>
          <c:val>
            <c:numRef>
              <c:f>'Продажа объектов -3'!$B$16</c:f>
              <c:numCache>
                <c:formatCode>General</c:formatCode>
                <c:ptCount val="1"/>
                <c:pt idx="0">
                  <c:v>67</c:v>
                </c:pt>
              </c:numCache>
            </c:numRef>
          </c:val>
        </c:ser>
        <c:ser>
          <c:idx val="1"/>
          <c:order val="1"/>
          <c:tx>
            <c:strRef>
              <c:f>'Продажа объектов -3'!$C$15</c:f>
              <c:strCache>
                <c:ptCount val="1"/>
                <c:pt idx="0">
                  <c:v>Продано</c:v>
                </c:pt>
              </c:strCache>
            </c:strRef>
          </c:tx>
          <c:spPr>
            <a:solidFill>
              <a:srgbClr val="FF8080"/>
            </a:solidFill>
            <a:ln w="38100">
              <a:solidFill>
                <a:srgbClr val="993366"/>
              </a:solidFill>
              <a:prstDash val="solid"/>
            </a:ln>
          </c:spPr>
          <c:invertIfNegative val="0"/>
          <c:dLbls>
            <c:spPr>
              <a:noFill/>
              <a:ln w="25400">
                <a:noFill/>
              </a:ln>
            </c:spPr>
            <c:txPr>
              <a:bodyPr/>
              <a:lstStyle/>
              <a:p>
                <a:pPr>
                  <a:defRPr sz="1050" b="1" i="0" u="none" strike="noStrike" baseline="0">
                    <a:solidFill>
                      <a:srgbClr val="000000"/>
                    </a:solidFill>
                    <a:latin typeface="Arial Cyr"/>
                    <a:ea typeface="Arial Cyr"/>
                    <a:cs typeface="Arial Cyr"/>
                  </a:defRPr>
                </a:pPr>
                <a:endParaRPr lang="ru-RU"/>
              </a:p>
            </c:txPr>
            <c:showLegendKey val="0"/>
            <c:showVal val="1"/>
            <c:showCatName val="0"/>
            <c:showSerName val="0"/>
            <c:showPercent val="0"/>
            <c:showBubbleSize val="0"/>
            <c:showLeaderLines val="0"/>
          </c:dLbls>
          <c:cat>
            <c:strRef>
              <c:f>'Продажа объектов -3'!$A$16</c:f>
              <c:strCache>
                <c:ptCount val="1"/>
                <c:pt idx="0">
                  <c:v>2014г</c:v>
                </c:pt>
              </c:strCache>
            </c:strRef>
          </c:cat>
          <c:val>
            <c:numRef>
              <c:f>'Продажа объектов -3'!$C$16</c:f>
              <c:numCache>
                <c:formatCode>General</c:formatCode>
                <c:ptCount val="1"/>
                <c:pt idx="0">
                  <c:v>24</c:v>
                </c:pt>
              </c:numCache>
            </c:numRef>
          </c:val>
        </c:ser>
        <c:ser>
          <c:idx val="2"/>
          <c:order val="2"/>
          <c:tx>
            <c:strRef>
              <c:f>'Продажа объектов -3'!$D$15</c:f>
              <c:strCache>
                <c:ptCount val="1"/>
                <c:pt idx="0">
                  <c:v>Отсутствие заявок или участие 1 претендента</c:v>
                </c:pt>
              </c:strCache>
            </c:strRef>
          </c:tx>
          <c:spPr>
            <a:solidFill>
              <a:srgbClr val="FFFF00"/>
            </a:solidFill>
            <a:ln w="12700">
              <a:solidFill>
                <a:srgbClr val="FFFF00"/>
              </a:solidFill>
              <a:prstDash val="solid"/>
            </a:ln>
          </c:spPr>
          <c:invertIfNegative val="0"/>
          <c:dLbls>
            <c:spPr>
              <a:noFill/>
              <a:ln w="25400">
                <a:noFill/>
              </a:ln>
            </c:spPr>
            <c:txPr>
              <a:bodyPr/>
              <a:lstStyle/>
              <a:p>
                <a:pPr>
                  <a:defRPr sz="1050" b="1" i="0" u="none" strike="noStrike" baseline="0">
                    <a:solidFill>
                      <a:srgbClr val="000000"/>
                    </a:solidFill>
                    <a:latin typeface="Arial Cyr"/>
                    <a:ea typeface="Arial Cyr"/>
                    <a:cs typeface="Arial Cyr"/>
                  </a:defRPr>
                </a:pPr>
                <a:endParaRPr lang="ru-RU"/>
              </a:p>
            </c:txPr>
            <c:showLegendKey val="0"/>
            <c:showVal val="1"/>
            <c:showCatName val="0"/>
            <c:showSerName val="0"/>
            <c:showPercent val="0"/>
            <c:showBubbleSize val="0"/>
            <c:showLeaderLines val="0"/>
          </c:dLbls>
          <c:cat>
            <c:strRef>
              <c:f>'Продажа объектов -3'!$A$16</c:f>
              <c:strCache>
                <c:ptCount val="1"/>
                <c:pt idx="0">
                  <c:v>2014г</c:v>
                </c:pt>
              </c:strCache>
            </c:strRef>
          </c:cat>
          <c:val>
            <c:numRef>
              <c:f>'Продажа объектов -3'!$D$16</c:f>
              <c:numCache>
                <c:formatCode>General</c:formatCode>
                <c:ptCount val="1"/>
                <c:pt idx="0">
                  <c:v>38</c:v>
                </c:pt>
              </c:numCache>
            </c:numRef>
          </c:val>
        </c:ser>
        <c:dLbls>
          <c:showLegendKey val="0"/>
          <c:showVal val="1"/>
          <c:showCatName val="0"/>
          <c:showSerName val="0"/>
          <c:showPercent val="0"/>
          <c:showBubbleSize val="0"/>
        </c:dLbls>
        <c:gapWidth val="150"/>
        <c:axId val="91258880"/>
        <c:axId val="91260416"/>
      </c:barChart>
      <c:catAx>
        <c:axId val="91258880"/>
        <c:scaling>
          <c:orientation val="minMax"/>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950" b="1" i="0" u="none" strike="noStrike" baseline="0">
                <a:solidFill>
                  <a:srgbClr val="000000"/>
                </a:solidFill>
                <a:latin typeface="Arial Cyr"/>
                <a:ea typeface="Arial Cyr"/>
                <a:cs typeface="Arial Cyr"/>
              </a:defRPr>
            </a:pPr>
            <a:endParaRPr lang="ru-RU"/>
          </a:p>
        </c:txPr>
        <c:crossAx val="91260416"/>
        <c:crosses val="autoZero"/>
        <c:auto val="1"/>
        <c:lblAlgn val="ctr"/>
        <c:lblOffset val="100"/>
        <c:tickLblSkip val="1"/>
        <c:tickMarkSkip val="1"/>
        <c:noMultiLvlLbl val="0"/>
      </c:catAx>
      <c:valAx>
        <c:axId val="91260416"/>
        <c:scaling>
          <c:orientation val="minMax"/>
          <c:max val="70"/>
          <c:min val="0"/>
        </c:scaling>
        <c:delete val="0"/>
        <c:axPos val="b"/>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950" b="1" i="0" u="none" strike="noStrike" baseline="0">
                <a:solidFill>
                  <a:srgbClr val="000000"/>
                </a:solidFill>
                <a:latin typeface="Arial Cyr"/>
                <a:ea typeface="Arial Cyr"/>
                <a:cs typeface="Arial Cyr"/>
              </a:defRPr>
            </a:pPr>
            <a:endParaRPr lang="ru-RU"/>
          </a:p>
        </c:txPr>
        <c:crossAx val="91258880"/>
        <c:crosses val="autoZero"/>
        <c:crossBetween val="between"/>
      </c:valAx>
      <c:spPr>
        <a:blipFill dpi="0" rotWithShape="0">
          <a:blip xmlns:r="http://schemas.openxmlformats.org/officeDocument/2006/relationships" r:embed="rId1"/>
          <a:srcRect/>
          <a:tile tx="0" ty="0" sx="100000" sy="100000" flip="none" algn="tl"/>
        </a:blipFill>
        <a:ln w="12700">
          <a:solidFill>
            <a:srgbClr val="808080"/>
          </a:solidFill>
          <a:prstDash val="solid"/>
        </a:ln>
      </c:spPr>
    </c:plotArea>
    <c:legend>
      <c:legendPos val="b"/>
      <c:layout>
        <c:manualLayout>
          <c:xMode val="edge"/>
          <c:yMode val="edge"/>
          <c:x val="9.3380432709069417E-3"/>
          <c:y val="0.92642140468227463"/>
          <c:w val="0.98847907169498561"/>
          <c:h val="6.3022322878536513E-2"/>
        </c:manualLayout>
      </c:layout>
      <c:overlay val="0"/>
      <c:spPr>
        <a:solidFill>
          <a:srgbClr val="FFFFFF"/>
        </a:solidFill>
        <a:ln w="3175">
          <a:solidFill>
            <a:srgbClr val="000000"/>
          </a:solidFill>
          <a:prstDash val="solid"/>
        </a:ln>
      </c:spPr>
      <c:txPr>
        <a:bodyPr/>
        <a:lstStyle/>
        <a:p>
          <a:pPr>
            <a:defRPr sz="735" b="1" i="0" u="none" strike="noStrike" baseline="0">
              <a:solidFill>
                <a:srgbClr val="000000"/>
              </a:solidFill>
              <a:latin typeface="Arial Cyr"/>
              <a:ea typeface="Arial Cyr"/>
              <a:cs typeface="Arial Cyr"/>
            </a:defRPr>
          </a:pPr>
          <a:endParaRPr lang="ru-RU"/>
        </a:p>
      </c:txPr>
    </c:legend>
    <c:plotVisOnly val="1"/>
    <c:dispBlanksAs val="gap"/>
    <c:showDLblsOverMax val="0"/>
  </c:chart>
  <c:spPr>
    <a:blipFill dpi="0" rotWithShape="0">
      <a:blip xmlns:r="http://schemas.openxmlformats.org/officeDocument/2006/relationships" r:embed="rId2"/>
      <a:srcRect/>
      <a:tile tx="0" ty="0" sx="100000" sy="100000" flip="none" algn="tl"/>
    </a:blipFill>
    <a:ln w="25400">
      <a:solidFill>
        <a:srgbClr val="993300"/>
      </a:solidFill>
      <a:prstDash val="solid"/>
    </a:ln>
  </c:spPr>
  <c:txPr>
    <a:bodyPr/>
    <a:lstStyle/>
    <a:p>
      <a:pPr>
        <a:defRPr sz="1050" b="0" i="0" u="none" strike="noStrike" baseline="0">
          <a:solidFill>
            <a:srgbClr val="000000"/>
          </a:solidFill>
          <a:latin typeface="Arial Cyr"/>
          <a:ea typeface="Arial Cyr"/>
          <a:cs typeface="Arial Cyr"/>
        </a:defRPr>
      </a:pPr>
      <a:endParaRPr lang="ru-RU"/>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ru-RU" sz="1200"/>
              <a:t>Регистрация права собственности на земельные участки</a:t>
            </a:r>
          </a:p>
        </c:rich>
      </c:tx>
      <c:overlay val="0"/>
      <c:spPr>
        <a:solidFill>
          <a:sysClr val="window" lastClr="FFFFFF"/>
        </a:solidFill>
        <a:ln>
          <a:solidFill>
            <a:schemeClr val="tx1"/>
          </a:solidFill>
        </a:ln>
      </c:spPr>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'Реестр зем.участков'!$A$3</c:f>
              <c:strCache>
                <c:ptCount val="1"/>
                <c:pt idx="0">
                  <c:v>Количество земельных участков (шт.)</c:v>
                </c:pt>
              </c:strCache>
            </c:strRef>
          </c:tx>
          <c:spPr>
            <a:solidFill>
              <a:srgbClr val="0000CC"/>
            </a:solidFill>
          </c:spPr>
          <c:invertIfNegative val="0"/>
          <c:dLbls>
            <c:dLbl>
              <c:idx val="0"/>
              <c:layout>
                <c:manualLayout>
                  <c:x val="-7.6960076960077024E-3"/>
                  <c:y val="-1.3888888888889018E-2"/>
                </c:manualLayout>
              </c:layout>
              <c:showLegendKey val="0"/>
              <c:showVal val="1"/>
              <c:showCatName val="0"/>
              <c:showSerName val="0"/>
              <c:showPercent val="0"/>
              <c:showBubbleSize val="0"/>
            </c:dLbl>
            <c:dLbl>
              <c:idx val="1"/>
              <c:layout>
                <c:manualLayout>
                  <c:x val="-1.3468013468013467E-2"/>
                  <c:y val="0"/>
                </c:manualLayout>
              </c:layout>
              <c:showLegendKey val="0"/>
              <c:showVal val="1"/>
              <c:showCatName val="0"/>
              <c:showSerName val="0"/>
              <c:showPercent val="0"/>
              <c:showBubbleSize val="0"/>
            </c:dLbl>
            <c:dLbl>
              <c:idx val="2"/>
              <c:layout>
                <c:manualLayout>
                  <c:x val="-1.1544011544011561E-2"/>
                  <c:y val="0"/>
                </c:manualLayout>
              </c:layout>
              <c:showLegendKey val="0"/>
              <c:showVal val="1"/>
              <c:showCatName val="0"/>
              <c:showSerName val="0"/>
              <c:showPercent val="0"/>
              <c:showBubbleSize val="0"/>
            </c:dLbl>
            <c:dLbl>
              <c:idx val="3"/>
              <c:layout>
                <c:manualLayout>
                  <c:x val="-1.5392015392015432E-2"/>
                  <c:y val="-3.2407407407407503E-2"/>
                </c:manualLayout>
              </c:layout>
              <c:showLegendKey val="0"/>
              <c:showVal val="1"/>
              <c:showCatName val="0"/>
              <c:showSerName val="0"/>
              <c:showPercent val="0"/>
              <c:showBubbleSize val="0"/>
            </c:dLbl>
            <c:dLbl>
              <c:idx val="4"/>
              <c:layout>
                <c:manualLayout>
                  <c:x val="0"/>
                  <c:y val="-4.1666666666666664E-2"/>
                </c:manualLayout>
              </c:layout>
              <c:showLegendKey val="0"/>
              <c:showVal val="1"/>
              <c:showCatName val="0"/>
              <c:showSerName val="0"/>
              <c:showPercent val="0"/>
              <c:showBubbleSize val="0"/>
            </c:dLbl>
            <c:dLbl>
              <c:idx val="5"/>
              <c:layout>
                <c:manualLayout>
                  <c:x val="-1.9240019240018631E-3"/>
                  <c:y val="-3.2407407407407503E-2"/>
                </c:manualLayout>
              </c:layout>
              <c:showLegendKey val="0"/>
              <c:showVal val="1"/>
              <c:showCatName val="0"/>
              <c:showSerName val="0"/>
              <c:showPercent val="0"/>
              <c:showBubbleSize val="0"/>
            </c:dLbl>
            <c:dLbl>
              <c:idx val="6"/>
              <c:layout>
                <c:manualLayout>
                  <c:x val="0"/>
                  <c:y val="-1.3888888888888935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'Реестр зем.участков'!$B$2:$I$2</c:f>
              <c:strCache>
                <c:ptCount val="8"/>
                <c:pt idx="0">
                  <c:v>2007 год</c:v>
                </c:pt>
                <c:pt idx="1">
                  <c:v>2008 год</c:v>
                </c:pt>
                <c:pt idx="2">
                  <c:v>2009 год</c:v>
                </c:pt>
                <c:pt idx="3">
                  <c:v>2010 год</c:v>
                </c:pt>
                <c:pt idx="4">
                  <c:v>2011 год</c:v>
                </c:pt>
                <c:pt idx="5">
                  <c:v>2012 год</c:v>
                </c:pt>
                <c:pt idx="6">
                  <c:v>2013 год</c:v>
                </c:pt>
                <c:pt idx="7">
                  <c:v>2014 год</c:v>
                </c:pt>
              </c:strCache>
            </c:strRef>
          </c:cat>
          <c:val>
            <c:numRef>
              <c:f>'Реестр зем.участков'!$B$3:$I$3</c:f>
              <c:numCache>
                <c:formatCode>General</c:formatCode>
                <c:ptCount val="8"/>
                <c:pt idx="0">
                  <c:v>14</c:v>
                </c:pt>
                <c:pt idx="1">
                  <c:v>56</c:v>
                </c:pt>
                <c:pt idx="2">
                  <c:v>123</c:v>
                </c:pt>
                <c:pt idx="3">
                  <c:v>202</c:v>
                </c:pt>
                <c:pt idx="4">
                  <c:v>292</c:v>
                </c:pt>
                <c:pt idx="5">
                  <c:v>366</c:v>
                </c:pt>
                <c:pt idx="6">
                  <c:v>420</c:v>
                </c:pt>
                <c:pt idx="7">
                  <c:v>456</c:v>
                </c:pt>
              </c:numCache>
            </c:numRef>
          </c:val>
        </c:ser>
        <c:ser>
          <c:idx val="1"/>
          <c:order val="1"/>
          <c:tx>
            <c:strRef>
              <c:f>'Реестр зем.участков'!$A$4</c:f>
              <c:strCache>
                <c:ptCount val="1"/>
                <c:pt idx="0">
                  <c:v>Общая площадь зарегистрированных участков (га)</c:v>
                </c:pt>
              </c:strCache>
            </c:strRef>
          </c:tx>
          <c:spPr>
            <a:solidFill>
              <a:srgbClr val="C00000"/>
            </a:solidFill>
          </c:spPr>
          <c:invertIfNegative val="0"/>
          <c:dLbls>
            <c:dLbl>
              <c:idx val="0"/>
              <c:layout>
                <c:manualLayout>
                  <c:x val="5.772005772005772E-3"/>
                  <c:y val="-1.3888888888888935E-2"/>
                </c:manualLayout>
              </c:layout>
              <c:showLegendKey val="0"/>
              <c:showVal val="1"/>
              <c:showCatName val="0"/>
              <c:showSerName val="0"/>
              <c:showPercent val="0"/>
              <c:showBubbleSize val="0"/>
            </c:dLbl>
            <c:dLbl>
              <c:idx val="1"/>
              <c:layout>
                <c:manualLayout>
                  <c:x val="0"/>
                  <c:y val="-5.0925925925925923E-2"/>
                </c:manualLayout>
              </c:layout>
              <c:showLegendKey val="0"/>
              <c:showVal val="1"/>
              <c:showCatName val="0"/>
              <c:showSerName val="0"/>
              <c:showPercent val="0"/>
              <c:showBubbleSize val="0"/>
            </c:dLbl>
            <c:dLbl>
              <c:idx val="2"/>
              <c:layout>
                <c:manualLayout>
                  <c:x val="3.8480038480038555E-3"/>
                  <c:y val="-6.4814814814814992E-2"/>
                </c:manualLayout>
              </c:layout>
              <c:showLegendKey val="0"/>
              <c:showVal val="1"/>
              <c:showCatName val="0"/>
              <c:showSerName val="0"/>
              <c:showPercent val="0"/>
              <c:showBubbleSize val="0"/>
            </c:dLbl>
            <c:dLbl>
              <c:idx val="3"/>
              <c:layout>
                <c:manualLayout>
                  <c:x val="1.1544011544011561E-2"/>
                  <c:y val="-2.3148148148148147E-2"/>
                </c:manualLayout>
              </c:layout>
              <c:showLegendKey val="0"/>
              <c:showVal val="1"/>
              <c:showCatName val="0"/>
              <c:showSerName val="0"/>
              <c:showPercent val="0"/>
              <c:showBubbleSize val="0"/>
            </c:dLbl>
            <c:dLbl>
              <c:idx val="5"/>
              <c:layout>
                <c:manualLayout>
                  <c:x val="7.6960076960077024E-3"/>
                  <c:y val="-2.7777777777777936E-2"/>
                </c:manualLayout>
              </c:layout>
              <c:showLegendKey val="0"/>
              <c:showVal val="1"/>
              <c:showCatName val="0"/>
              <c:showSerName val="0"/>
              <c:showPercent val="0"/>
              <c:showBubbleSize val="0"/>
            </c:dLbl>
            <c:dLbl>
              <c:idx val="6"/>
              <c:layout>
                <c:manualLayout>
                  <c:x val="9.6200096200096483E-3"/>
                  <c:y val="2.1218890680033592E-17"/>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'Реестр зем.участков'!$B$2:$I$2</c:f>
              <c:strCache>
                <c:ptCount val="8"/>
                <c:pt idx="0">
                  <c:v>2007 год</c:v>
                </c:pt>
                <c:pt idx="1">
                  <c:v>2008 год</c:v>
                </c:pt>
                <c:pt idx="2">
                  <c:v>2009 год</c:v>
                </c:pt>
                <c:pt idx="3">
                  <c:v>2010 год</c:v>
                </c:pt>
                <c:pt idx="4">
                  <c:v>2011 год</c:v>
                </c:pt>
                <c:pt idx="5">
                  <c:v>2012 год</c:v>
                </c:pt>
                <c:pt idx="6">
                  <c:v>2013 год</c:v>
                </c:pt>
                <c:pt idx="7">
                  <c:v>2014 год</c:v>
                </c:pt>
              </c:strCache>
            </c:strRef>
          </c:cat>
          <c:val>
            <c:numRef>
              <c:f>'Реестр зем.участков'!$B$4:$I$4</c:f>
              <c:numCache>
                <c:formatCode>General</c:formatCode>
                <c:ptCount val="8"/>
                <c:pt idx="0">
                  <c:v>11.350000000000016</c:v>
                </c:pt>
                <c:pt idx="1">
                  <c:v>79.06</c:v>
                </c:pt>
                <c:pt idx="2">
                  <c:v>124.33</c:v>
                </c:pt>
                <c:pt idx="3">
                  <c:v>696.1</c:v>
                </c:pt>
                <c:pt idx="4">
                  <c:v>761.44999999999948</c:v>
                </c:pt>
                <c:pt idx="5">
                  <c:v>789.31999999999948</c:v>
                </c:pt>
                <c:pt idx="6">
                  <c:v>838.69</c:v>
                </c:pt>
                <c:pt idx="7">
                  <c:v>857.16</c:v>
                </c:pt>
              </c:numCache>
            </c:numRef>
          </c:val>
        </c:ser>
        <c:dLbls>
          <c:showLegendKey val="0"/>
          <c:showVal val="1"/>
          <c:showCatName val="0"/>
          <c:showSerName val="0"/>
          <c:showPercent val="0"/>
          <c:showBubbleSize val="0"/>
        </c:dLbls>
        <c:gapWidth val="150"/>
        <c:shape val="cylinder"/>
        <c:axId val="91286528"/>
        <c:axId val="91292416"/>
        <c:axId val="0"/>
      </c:bar3DChart>
      <c:catAx>
        <c:axId val="91286528"/>
        <c:scaling>
          <c:orientation val="minMax"/>
        </c:scaling>
        <c:delete val="0"/>
        <c:axPos val="b"/>
        <c:majorTickMark val="out"/>
        <c:minorTickMark val="none"/>
        <c:tickLblPos val="nextTo"/>
        <c:crossAx val="91292416"/>
        <c:crosses val="autoZero"/>
        <c:auto val="1"/>
        <c:lblAlgn val="ctr"/>
        <c:lblOffset val="100"/>
        <c:noMultiLvlLbl val="0"/>
      </c:catAx>
      <c:valAx>
        <c:axId val="91292416"/>
        <c:scaling>
          <c:orientation val="minMax"/>
        </c:scaling>
        <c:delete val="0"/>
        <c:axPos val="l"/>
        <c:majorGridlines/>
        <c:numFmt formatCode="General" sourceLinked="1"/>
        <c:majorTickMark val="out"/>
        <c:minorTickMark val="none"/>
        <c:tickLblPos val="nextTo"/>
        <c:crossAx val="91286528"/>
        <c:crosses val="autoZero"/>
        <c:crossBetween val="between"/>
      </c:valAx>
    </c:plotArea>
    <c:legend>
      <c:legendPos val="b"/>
      <c:overlay val="0"/>
      <c:spPr>
        <a:solidFill>
          <a:sysClr val="window" lastClr="FFFFFF"/>
        </a:solidFill>
        <a:ln>
          <a:solidFill>
            <a:sysClr val="windowText" lastClr="000000"/>
          </a:solidFill>
        </a:ln>
      </c:spPr>
      <c:txPr>
        <a:bodyPr/>
        <a:lstStyle/>
        <a:p>
          <a:pPr>
            <a:defRPr sz="900"/>
          </a:pPr>
          <a:endParaRPr lang="ru-RU"/>
        </a:p>
      </c:txPr>
    </c:legend>
    <c:plotVisOnly val="1"/>
    <c:dispBlanksAs val="gap"/>
    <c:showDLblsOverMax val="0"/>
  </c:chart>
  <c:spPr>
    <a:solidFill>
      <a:srgbClr val="CCFF99"/>
    </a:solidFill>
    <a:ln w="19050">
      <a:solidFill>
        <a:srgbClr val="00B050"/>
      </a:solidFill>
    </a:ln>
  </c:spPr>
  <c:txPr>
    <a:bodyPr/>
    <a:lstStyle/>
    <a:p>
      <a:pPr>
        <a:defRPr sz="800" b="1" i="0">
          <a:latin typeface="Times New Roman" pitchFamily="18" charset="0"/>
          <a:cs typeface="Times New Roman" pitchFamily="18" charset="0"/>
        </a:defRPr>
      </a:pPr>
      <a:endParaRPr lang="ru-RU"/>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a:t>Постановка на кадастровый учет земельных участков для эксплуатации МКД</a:t>
            </a:r>
          </a:p>
        </c:rich>
      </c:tx>
      <c:overlay val="0"/>
      <c:spPr>
        <a:solidFill>
          <a:sysClr val="window" lastClr="FFFFFF"/>
        </a:solidFill>
        <a:ln>
          <a:solidFill>
            <a:schemeClr val="tx1"/>
          </a:solidFill>
        </a:ln>
      </c:spPr>
    </c:title>
    <c:autoTitleDeleted val="0"/>
    <c:view3D>
      <c:rotX val="15"/>
      <c:rotY val="20"/>
      <c:rAngAx val="1"/>
    </c:view3D>
    <c:floor>
      <c:thickness val="0"/>
      <c:spPr>
        <a:blipFill>
          <a:blip xmlns:r="http://schemas.openxmlformats.org/officeDocument/2006/relationships" r:embed="rId1"/>
          <a:tile tx="0" ty="0" sx="100000" sy="100000" flip="none" algn="tl"/>
        </a:blipFill>
      </c:spPr>
    </c:floor>
    <c:sideWall>
      <c:thickness val="0"/>
    </c:sideWall>
    <c:backWall>
      <c:thickness val="0"/>
    </c:backWall>
    <c:plotArea>
      <c:layout>
        <c:manualLayout>
          <c:layoutTarget val="inner"/>
          <c:xMode val="edge"/>
          <c:yMode val="edge"/>
          <c:x val="5.8462398082592633E-2"/>
          <c:y val="4.8162511542012933E-2"/>
          <c:w val="0.92099605196409273"/>
          <c:h val="0.86489674093861368"/>
        </c:manualLayout>
      </c:layout>
      <c:bar3DChart>
        <c:barDir val="col"/>
        <c:grouping val="standard"/>
        <c:varyColors val="0"/>
        <c:ser>
          <c:idx val="0"/>
          <c:order val="0"/>
          <c:tx>
            <c:strRef>
              <c:f>'Зем.участки для МКД'!$A$3</c:f>
              <c:strCache>
                <c:ptCount val="1"/>
                <c:pt idx="0">
                  <c:v>Количество земельных участков для МКД  (шт.)</c:v>
                </c:pt>
              </c:strCache>
            </c:strRef>
          </c:tx>
          <c:spPr>
            <a:solidFill>
              <a:srgbClr val="008080"/>
            </a:solidFill>
          </c:spPr>
          <c:invertIfNegative val="0"/>
          <c:dLbls>
            <c:dLbl>
              <c:idx val="0"/>
              <c:layout>
                <c:manualLayout>
                  <c:x val="-7.6960076960077024E-3"/>
                  <c:y val="-1.3888888888889025E-2"/>
                </c:manualLayout>
              </c:layout>
              <c:showLegendKey val="0"/>
              <c:showVal val="1"/>
              <c:showCatName val="0"/>
              <c:showSerName val="0"/>
              <c:showPercent val="0"/>
              <c:showBubbleSize val="0"/>
            </c:dLbl>
            <c:dLbl>
              <c:idx val="1"/>
              <c:layout>
                <c:manualLayout>
                  <c:x val="-1.3468013468013467E-2"/>
                  <c:y val="0"/>
                </c:manualLayout>
              </c:layout>
              <c:showLegendKey val="0"/>
              <c:showVal val="1"/>
              <c:showCatName val="0"/>
              <c:showSerName val="0"/>
              <c:showPercent val="0"/>
              <c:showBubbleSize val="0"/>
            </c:dLbl>
            <c:dLbl>
              <c:idx val="2"/>
              <c:layout>
                <c:manualLayout>
                  <c:x val="-1.1544011544011561E-2"/>
                  <c:y val="0"/>
                </c:manualLayout>
              </c:layout>
              <c:showLegendKey val="0"/>
              <c:showVal val="1"/>
              <c:showCatName val="0"/>
              <c:showSerName val="0"/>
              <c:showPercent val="0"/>
              <c:showBubbleSize val="0"/>
            </c:dLbl>
            <c:dLbl>
              <c:idx val="3"/>
              <c:layout>
                <c:manualLayout>
                  <c:x val="-1.5392015392015441E-2"/>
                  <c:y val="-3.2407407407407531E-2"/>
                </c:manualLayout>
              </c:layout>
              <c:showLegendKey val="0"/>
              <c:showVal val="1"/>
              <c:showCatName val="0"/>
              <c:showSerName val="0"/>
              <c:showPercent val="0"/>
              <c:showBubbleSize val="0"/>
            </c:dLbl>
            <c:dLbl>
              <c:idx val="4"/>
              <c:layout>
                <c:manualLayout>
                  <c:x val="0"/>
                  <c:y val="-4.1666666666666664E-2"/>
                </c:manualLayout>
              </c:layout>
              <c:showLegendKey val="0"/>
              <c:showVal val="1"/>
              <c:showCatName val="0"/>
              <c:showSerName val="0"/>
              <c:showPercent val="0"/>
              <c:showBubbleSize val="0"/>
            </c:dLbl>
            <c:dLbl>
              <c:idx val="5"/>
              <c:layout>
                <c:manualLayout>
                  <c:x val="-1.9240019240018647E-3"/>
                  <c:y val="-3.2407407407407531E-2"/>
                </c:manualLayout>
              </c:layout>
              <c:showLegendKey val="0"/>
              <c:showVal val="1"/>
              <c:showCatName val="0"/>
              <c:showSerName val="0"/>
              <c:showPercent val="0"/>
              <c:showBubbleSize val="0"/>
            </c:dLbl>
            <c:dLbl>
              <c:idx val="6"/>
              <c:layout>
                <c:manualLayout>
                  <c:x val="0"/>
                  <c:y val="-1.3888888888888944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'Зем.участки для МКД'!$B$2:$I$2</c:f>
              <c:strCache>
                <c:ptCount val="8"/>
                <c:pt idx="0">
                  <c:v>2007 год</c:v>
                </c:pt>
                <c:pt idx="1">
                  <c:v>2008 год</c:v>
                </c:pt>
                <c:pt idx="2">
                  <c:v>2009 год</c:v>
                </c:pt>
                <c:pt idx="3">
                  <c:v>2010 год</c:v>
                </c:pt>
                <c:pt idx="4">
                  <c:v>2011 год</c:v>
                </c:pt>
                <c:pt idx="5">
                  <c:v>2012 год</c:v>
                </c:pt>
                <c:pt idx="6">
                  <c:v>2013 год</c:v>
                </c:pt>
                <c:pt idx="7">
                  <c:v>2014 год</c:v>
                </c:pt>
              </c:strCache>
            </c:strRef>
          </c:cat>
          <c:val>
            <c:numRef>
              <c:f>'Зем.участки для МКД'!$B$3:$I$3</c:f>
              <c:numCache>
                <c:formatCode>#,##0</c:formatCode>
                <c:ptCount val="8"/>
                <c:pt idx="0">
                  <c:v>0</c:v>
                </c:pt>
                <c:pt idx="1">
                  <c:v>188</c:v>
                </c:pt>
                <c:pt idx="2">
                  <c:v>430</c:v>
                </c:pt>
                <c:pt idx="3">
                  <c:v>792</c:v>
                </c:pt>
                <c:pt idx="4">
                  <c:v>1155</c:v>
                </c:pt>
                <c:pt idx="5">
                  <c:v>1287</c:v>
                </c:pt>
                <c:pt idx="6">
                  <c:v>1429</c:v>
                </c:pt>
                <c:pt idx="7">
                  <c:v>1526</c:v>
                </c:pt>
              </c:numCache>
            </c:numRef>
          </c:val>
        </c:ser>
        <c:ser>
          <c:idx val="1"/>
          <c:order val="1"/>
          <c:tx>
            <c:strRef>
              <c:f>'Зем.участки для МКД'!$A$4</c:f>
              <c:strCache>
                <c:ptCount val="1"/>
                <c:pt idx="0">
                  <c:v>Постановка земельных участков для МКД на ГКУ</c:v>
                </c:pt>
              </c:strCache>
            </c:strRef>
          </c:tx>
          <c:spPr>
            <a:solidFill>
              <a:srgbClr val="D60093"/>
            </a:solidFill>
          </c:spPr>
          <c:invertIfNegative val="0"/>
          <c:dLbls>
            <c:dLbl>
              <c:idx val="0"/>
              <c:layout>
                <c:manualLayout>
                  <c:x val="5.772005772005772E-3"/>
                  <c:y val="-1.3888888888888944E-2"/>
                </c:manualLayout>
              </c:layout>
              <c:showLegendKey val="0"/>
              <c:showVal val="1"/>
              <c:showCatName val="0"/>
              <c:showSerName val="0"/>
              <c:showPercent val="0"/>
              <c:showBubbleSize val="0"/>
            </c:dLbl>
            <c:dLbl>
              <c:idx val="1"/>
              <c:layout>
                <c:manualLayout>
                  <c:x val="0"/>
                  <c:y val="-5.0925925925925923E-2"/>
                </c:manualLayout>
              </c:layout>
              <c:showLegendKey val="0"/>
              <c:showVal val="1"/>
              <c:showCatName val="0"/>
              <c:showSerName val="0"/>
              <c:showPercent val="0"/>
              <c:showBubbleSize val="0"/>
            </c:dLbl>
            <c:dLbl>
              <c:idx val="2"/>
              <c:layout>
                <c:manualLayout>
                  <c:x val="3.8480038480038568E-3"/>
                  <c:y val="-6.4814814814815033E-2"/>
                </c:manualLayout>
              </c:layout>
              <c:showLegendKey val="0"/>
              <c:showVal val="1"/>
              <c:showCatName val="0"/>
              <c:showSerName val="0"/>
              <c:showPercent val="0"/>
              <c:showBubbleSize val="0"/>
            </c:dLbl>
            <c:dLbl>
              <c:idx val="3"/>
              <c:layout>
                <c:manualLayout>
                  <c:x val="1.1544011544011561E-2"/>
                  <c:y val="-2.3148148148148147E-2"/>
                </c:manualLayout>
              </c:layout>
              <c:showLegendKey val="0"/>
              <c:showVal val="1"/>
              <c:showCatName val="0"/>
              <c:showSerName val="0"/>
              <c:showPercent val="0"/>
              <c:showBubbleSize val="0"/>
            </c:dLbl>
            <c:dLbl>
              <c:idx val="5"/>
              <c:layout>
                <c:manualLayout>
                  <c:x val="7.6960076960077024E-3"/>
                  <c:y val="-2.7777777777777964E-2"/>
                </c:manualLayout>
              </c:layout>
              <c:showLegendKey val="0"/>
              <c:showVal val="1"/>
              <c:showCatName val="0"/>
              <c:showSerName val="0"/>
              <c:showPercent val="0"/>
              <c:showBubbleSize val="0"/>
            </c:dLbl>
            <c:dLbl>
              <c:idx val="6"/>
              <c:layout>
                <c:manualLayout>
                  <c:x val="9.6200096200096535E-3"/>
                  <c:y val="2.1218890680033635E-17"/>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'Зем.участки для МКД'!$B$2:$I$2</c:f>
              <c:strCache>
                <c:ptCount val="8"/>
                <c:pt idx="0">
                  <c:v>2007 год</c:v>
                </c:pt>
                <c:pt idx="1">
                  <c:v>2008 год</c:v>
                </c:pt>
                <c:pt idx="2">
                  <c:v>2009 год</c:v>
                </c:pt>
                <c:pt idx="3">
                  <c:v>2010 год</c:v>
                </c:pt>
                <c:pt idx="4">
                  <c:v>2011 год</c:v>
                </c:pt>
                <c:pt idx="5">
                  <c:v>2012 год</c:v>
                </c:pt>
                <c:pt idx="6">
                  <c:v>2013 год</c:v>
                </c:pt>
                <c:pt idx="7">
                  <c:v>2014 год</c:v>
                </c:pt>
              </c:strCache>
            </c:strRef>
          </c:cat>
          <c:val>
            <c:numRef>
              <c:f>'Зем.участки для МКД'!$B$4:$I$4</c:f>
              <c:numCache>
                <c:formatCode>#,##0</c:formatCode>
                <c:ptCount val="8"/>
                <c:pt idx="0">
                  <c:v>28</c:v>
                </c:pt>
                <c:pt idx="1">
                  <c:v>120</c:v>
                </c:pt>
                <c:pt idx="2">
                  <c:v>299</c:v>
                </c:pt>
                <c:pt idx="3">
                  <c:v>627</c:v>
                </c:pt>
                <c:pt idx="4">
                  <c:v>805</c:v>
                </c:pt>
                <c:pt idx="5">
                  <c:v>861</c:v>
                </c:pt>
                <c:pt idx="6">
                  <c:v>934</c:v>
                </c:pt>
                <c:pt idx="7">
                  <c:v>995</c:v>
                </c:pt>
              </c:numCache>
            </c:numRef>
          </c:val>
          <c:shape val="box"/>
        </c:ser>
        <c:dLbls>
          <c:showLegendKey val="0"/>
          <c:showVal val="1"/>
          <c:showCatName val="0"/>
          <c:showSerName val="0"/>
          <c:showPercent val="0"/>
          <c:showBubbleSize val="0"/>
        </c:dLbls>
        <c:gapWidth val="150"/>
        <c:shape val="pyramid"/>
        <c:axId val="91347968"/>
        <c:axId val="91362048"/>
        <c:axId val="90880640"/>
      </c:bar3DChart>
      <c:catAx>
        <c:axId val="91347968"/>
        <c:scaling>
          <c:orientation val="minMax"/>
        </c:scaling>
        <c:delete val="0"/>
        <c:axPos val="b"/>
        <c:majorTickMark val="out"/>
        <c:minorTickMark val="none"/>
        <c:tickLblPos val="nextTo"/>
        <c:crossAx val="91362048"/>
        <c:crosses val="autoZero"/>
        <c:auto val="1"/>
        <c:lblAlgn val="ctr"/>
        <c:lblOffset val="100"/>
        <c:noMultiLvlLbl val="0"/>
      </c:catAx>
      <c:valAx>
        <c:axId val="91362048"/>
        <c:scaling>
          <c:orientation val="minMax"/>
          <c:max val="1650"/>
        </c:scaling>
        <c:delete val="0"/>
        <c:axPos val="l"/>
        <c:majorGridlines/>
        <c:numFmt formatCode="#,##0" sourceLinked="1"/>
        <c:majorTickMark val="out"/>
        <c:minorTickMark val="none"/>
        <c:tickLblPos val="nextTo"/>
        <c:crossAx val="91347968"/>
        <c:crosses val="autoZero"/>
        <c:crossBetween val="between"/>
        <c:majorUnit val="550"/>
      </c:valAx>
      <c:serAx>
        <c:axId val="90880640"/>
        <c:scaling>
          <c:orientation val="minMax"/>
        </c:scaling>
        <c:delete val="1"/>
        <c:axPos val="b"/>
        <c:majorTickMark val="out"/>
        <c:minorTickMark val="none"/>
        <c:tickLblPos val="none"/>
        <c:crossAx val="91362048"/>
        <c:crosses val="autoZero"/>
      </c:serAx>
    </c:plotArea>
    <c:legend>
      <c:legendPos val="b"/>
      <c:overlay val="0"/>
      <c:spPr>
        <a:solidFill>
          <a:sysClr val="window" lastClr="FFFFFF"/>
        </a:solidFill>
        <a:ln>
          <a:solidFill>
            <a:sysClr val="windowText" lastClr="000000"/>
          </a:solidFill>
        </a:ln>
      </c:spPr>
    </c:legend>
    <c:plotVisOnly val="1"/>
    <c:dispBlanksAs val="gap"/>
    <c:showDLblsOverMax val="0"/>
  </c:chart>
  <c:spPr>
    <a:blipFill>
      <a:blip xmlns:r="http://schemas.openxmlformats.org/officeDocument/2006/relationships" r:embed="rId2"/>
      <a:tile tx="0" ty="0" sx="100000" sy="100000" flip="none" algn="tl"/>
    </a:blipFill>
    <a:ln w="15875">
      <a:solidFill>
        <a:schemeClr val="accent6">
          <a:lumMod val="50000"/>
        </a:schemeClr>
      </a:solidFill>
    </a:ln>
  </c:spPr>
  <c:txPr>
    <a:bodyPr/>
    <a:lstStyle/>
    <a:p>
      <a:pPr>
        <a:defRPr sz="800" b="1" i="0">
          <a:latin typeface="Times New Roman" pitchFamily="18" charset="0"/>
          <a:cs typeface="Times New Roman" pitchFamily="18" charset="0"/>
        </a:defRPr>
      </a:pPr>
      <a:endParaRPr lang="ru-RU"/>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b="1" i="1" u="none" strike="noStrike" baseline="0">
                <a:solidFill>
                  <a:srgbClr val="000000"/>
                </a:solidFill>
                <a:latin typeface="Georgia"/>
                <a:ea typeface="Georgia"/>
                <a:cs typeface="Georgia"/>
              </a:defRPr>
            </a:pPr>
            <a:r>
              <a:rPr lang="ru-RU"/>
              <a:t>Структура реестра действующих муниципальных организаций</a:t>
            </a:r>
          </a:p>
        </c:rich>
      </c:tx>
      <c:layout>
        <c:manualLayout>
          <c:xMode val="edge"/>
          <c:yMode val="edge"/>
          <c:x val="0.18367365241714406"/>
          <c:y val="1.8656750409482881E-2"/>
        </c:manualLayout>
      </c:layout>
      <c:overlay val="0"/>
      <c:spPr>
        <a:gradFill rotWithShape="0">
          <a:gsLst>
            <a:gs pos="0">
              <a:srgbClr val="99CCFF"/>
            </a:gs>
            <a:gs pos="50000">
              <a:srgbClr val="99CCFF">
                <a:gamma/>
                <a:tint val="0"/>
                <a:invGamma/>
              </a:srgbClr>
            </a:gs>
            <a:gs pos="100000">
              <a:srgbClr val="99CCFF"/>
            </a:gs>
          </a:gsLst>
          <a:lin ang="5400000" scaled="1"/>
        </a:gradFill>
        <a:ln w="25400">
          <a:solidFill>
            <a:srgbClr val="666699"/>
          </a:solidFill>
          <a:prstDash val="solid"/>
        </a:ln>
      </c:spPr>
    </c:title>
    <c:autoTitleDeleted val="0"/>
    <c:view3D>
      <c:rotX val="15"/>
      <c:rotY val="0"/>
      <c:rAngAx val="0"/>
      <c:perspective val="0"/>
    </c:view3D>
    <c:floor>
      <c:thickness val="0"/>
    </c:floor>
    <c:sideWall>
      <c:thickness val="0"/>
    </c:sideWall>
    <c:backWall>
      <c:thickness val="0"/>
    </c:backWall>
    <c:plotArea>
      <c:layout>
        <c:manualLayout>
          <c:layoutTarget val="inner"/>
          <c:xMode val="edge"/>
          <c:yMode val="edge"/>
          <c:x val="1.8367365241714478E-2"/>
          <c:y val="0.39552310868103696"/>
          <c:w val="0.64693942018038886"/>
          <c:h val="0.46641876023707429"/>
        </c:manualLayout>
      </c:layout>
      <c:pie3DChart>
        <c:varyColors val="1"/>
        <c:ser>
          <c:idx val="0"/>
          <c:order val="0"/>
          <c:spPr>
            <a:solidFill>
              <a:srgbClr val="9999FF"/>
            </a:solidFill>
            <a:ln w="12700">
              <a:solidFill>
                <a:srgbClr val="000000"/>
              </a:solidFill>
              <a:prstDash val="solid"/>
            </a:ln>
          </c:spPr>
          <c:explosion val="25"/>
          <c:dPt>
            <c:idx val="0"/>
            <c:bubble3D val="0"/>
            <c:spPr>
              <a:solidFill>
                <a:srgbClr val="FF0000"/>
              </a:solidFill>
              <a:ln w="38100">
                <a:solidFill>
                  <a:srgbClr val="FF0000"/>
                </a:solidFill>
                <a:prstDash val="solid"/>
              </a:ln>
            </c:spPr>
          </c:dPt>
          <c:dPt>
            <c:idx val="1"/>
            <c:bubble3D val="0"/>
            <c:spPr>
              <a:solidFill>
                <a:srgbClr val="FFFF00"/>
              </a:solidFill>
              <a:ln w="38100">
                <a:solidFill>
                  <a:srgbClr val="FFFF00"/>
                </a:solidFill>
                <a:prstDash val="solid"/>
              </a:ln>
            </c:spPr>
          </c:dPt>
          <c:dPt>
            <c:idx val="2"/>
            <c:bubble3D val="0"/>
            <c:spPr>
              <a:solidFill>
                <a:srgbClr val="CC00CC"/>
              </a:solidFill>
              <a:ln w="38100">
                <a:solidFill>
                  <a:srgbClr val="CC00CC"/>
                </a:solidFill>
                <a:prstDash val="solid"/>
              </a:ln>
            </c:spPr>
          </c:dPt>
          <c:dPt>
            <c:idx val="3"/>
            <c:bubble3D val="0"/>
            <c:spPr>
              <a:solidFill>
                <a:srgbClr val="00CC00"/>
              </a:solidFill>
              <a:ln w="38100">
                <a:solidFill>
                  <a:schemeClr val="tx1"/>
                </a:solidFill>
                <a:prstDash val="solid"/>
              </a:ln>
            </c:spPr>
          </c:dPt>
          <c:dLbls>
            <c:dLbl>
              <c:idx val="0"/>
              <c:layout>
                <c:manualLayout>
                  <c:x val="0.12775310442571866"/>
                  <c:y val="-9.888502470718856E-2"/>
                </c:manualLayout>
              </c:layout>
              <c:dLblPos val="bestFit"/>
              <c:showLegendKey val="0"/>
              <c:showVal val="1"/>
              <c:showCatName val="0"/>
              <c:showSerName val="0"/>
              <c:showPercent val="0"/>
              <c:showBubbleSize val="0"/>
            </c:dLbl>
            <c:dLbl>
              <c:idx val="1"/>
              <c:layout>
                <c:manualLayout>
                  <c:x val="0.21639151876376272"/>
                  <c:y val="3.4499958277655611E-2"/>
                </c:manualLayout>
              </c:layout>
              <c:dLblPos val="bestFit"/>
              <c:showLegendKey val="0"/>
              <c:showVal val="1"/>
              <c:showCatName val="0"/>
              <c:showSerName val="0"/>
              <c:showPercent val="0"/>
              <c:showBubbleSize val="0"/>
            </c:dLbl>
            <c:dLbl>
              <c:idx val="2"/>
              <c:layout>
                <c:manualLayout>
                  <c:x val="-0.12537377336264866"/>
                  <c:y val="-3.7322249990623592E-2"/>
                </c:manualLayout>
              </c:layout>
              <c:dLblPos val="bestFit"/>
              <c:showLegendKey val="0"/>
              <c:showVal val="1"/>
              <c:showCatName val="0"/>
              <c:showSerName val="0"/>
              <c:showPercent val="0"/>
              <c:showBubbleSize val="0"/>
            </c:dLbl>
            <c:dLbl>
              <c:idx val="3"/>
              <c:layout>
                <c:manualLayout>
                  <c:x val="-8.6931703656435669E-2"/>
                  <c:y val="-0.10377243964993324"/>
                </c:manualLayout>
              </c:layout>
              <c:dLblPos val="bestFit"/>
              <c:showLegendKey val="0"/>
              <c:showVal val="1"/>
              <c:showCatName val="0"/>
              <c:showSerName val="0"/>
              <c:showPercent val="0"/>
              <c:showBubbleSize val="0"/>
            </c:dLbl>
            <c:spPr>
              <a:noFill/>
              <a:ln w="25400">
                <a:noFill/>
              </a:ln>
            </c:spPr>
            <c:txPr>
              <a:bodyPr/>
              <a:lstStyle/>
              <a:p>
                <a:pPr>
                  <a:defRPr sz="1200" b="1" i="0" u="none" strike="noStrike" baseline="0">
                    <a:solidFill>
                      <a:srgbClr val="FFFFFF"/>
                    </a:solidFill>
                    <a:latin typeface="Arial Cyr"/>
                    <a:ea typeface="Arial Cyr"/>
                    <a:cs typeface="Arial Cyr"/>
                  </a:defRPr>
                </a:pPr>
                <a:endParaRPr lang="ru-RU"/>
              </a:p>
            </c:txPr>
            <c:showLegendKey val="0"/>
            <c:showVal val="1"/>
            <c:showCatName val="0"/>
            <c:showSerName val="0"/>
            <c:showPercent val="0"/>
            <c:showBubbleSize val="0"/>
            <c:showLeaderLines val="1"/>
            <c:leaderLines>
              <c:spPr>
                <a:ln w="25400">
                  <a:solidFill>
                    <a:srgbClr val="800000"/>
                  </a:solidFill>
                  <a:prstDash val="solid"/>
                </a:ln>
              </c:spPr>
            </c:leaderLines>
          </c:dLbls>
          <c:cat>
            <c:strRef>
              <c:f>'Реестр-8'!$C$4:$C$7</c:f>
              <c:strCache>
                <c:ptCount val="4"/>
                <c:pt idx="0">
                  <c:v>Муниципальные предприятия</c:v>
                </c:pt>
                <c:pt idx="1">
                  <c:v>Муниципальные бюджетные учреждения</c:v>
                </c:pt>
                <c:pt idx="2">
                  <c:v>Структурные подразделения администрации города</c:v>
                </c:pt>
                <c:pt idx="3">
                  <c:v>Органы местного самоуправления</c:v>
                </c:pt>
              </c:strCache>
            </c:strRef>
          </c:cat>
          <c:val>
            <c:numRef>
              <c:f>'Реестр-8'!$D$4:$D$7</c:f>
              <c:numCache>
                <c:formatCode>General</c:formatCode>
                <c:ptCount val="4"/>
                <c:pt idx="0">
                  <c:v>22</c:v>
                </c:pt>
                <c:pt idx="1">
                  <c:v>203</c:v>
                </c:pt>
                <c:pt idx="2">
                  <c:v>21</c:v>
                </c:pt>
                <c:pt idx="3">
                  <c:v>4</c:v>
                </c:pt>
              </c:numCache>
            </c:numRef>
          </c:val>
        </c:ser>
        <c:dLbls>
          <c:showLegendKey val="0"/>
          <c:showVal val="1"/>
          <c:showCatName val="0"/>
          <c:showSerName val="0"/>
          <c:showPercent val="0"/>
          <c:showBubbleSize val="0"/>
          <c:showLeaderLines val="1"/>
        </c:dLbls>
      </c:pie3DChart>
      <c:spPr>
        <a:noFill/>
        <a:ln w="25400">
          <a:noFill/>
        </a:ln>
      </c:spPr>
    </c:plotArea>
    <c:legend>
      <c:legendPos val="r"/>
      <c:layout>
        <c:manualLayout>
          <c:xMode val="edge"/>
          <c:yMode val="edge"/>
          <c:x val="0.67755169558324502"/>
          <c:y val="0.25373180556896713"/>
          <c:w val="0.30816357238876535"/>
          <c:h val="0.65671761441380228"/>
        </c:manualLayout>
      </c:layout>
      <c:overlay val="0"/>
      <c:spPr>
        <a:gradFill rotWithShape="0">
          <a:gsLst>
            <a:gs pos="0">
              <a:srgbClr val="C0C0C0"/>
            </a:gs>
            <a:gs pos="100000">
              <a:srgbClr val="C0C0C0">
                <a:gamma/>
                <a:tint val="0"/>
                <a:invGamma/>
              </a:srgbClr>
            </a:gs>
          </a:gsLst>
          <a:lin ang="5400000" scaled="1"/>
        </a:gradFill>
        <a:ln w="25400">
          <a:solidFill>
            <a:srgbClr val="808080"/>
          </a:solidFill>
          <a:prstDash val="solid"/>
        </a:ln>
      </c:spPr>
      <c:txPr>
        <a:bodyPr/>
        <a:lstStyle/>
        <a:p>
          <a:pPr>
            <a:defRPr sz="735" b="0" i="0" u="none" strike="noStrike" baseline="0">
              <a:solidFill>
                <a:srgbClr val="000000"/>
              </a:solidFill>
              <a:latin typeface="Times New Roman"/>
              <a:ea typeface="Times New Roman"/>
              <a:cs typeface="Times New Roman"/>
            </a:defRPr>
          </a:pPr>
          <a:endParaRPr lang="ru-RU"/>
        </a:p>
      </c:txPr>
    </c:legend>
    <c:plotVisOnly val="1"/>
    <c:dispBlanksAs val="zero"/>
    <c:showDLblsOverMax val="0"/>
  </c:chart>
  <c:spPr>
    <a:blipFill dpi="0" rotWithShape="0">
      <a:blip xmlns:r="http://schemas.openxmlformats.org/officeDocument/2006/relationships" r:embed="rId1"/>
      <a:srcRect/>
      <a:stretch>
        <a:fillRect/>
      </a:stretch>
    </a:blipFill>
    <a:ln w="38100">
      <a:solidFill>
        <a:srgbClr val="969696"/>
      </a:solidFill>
      <a:prstDash val="solid"/>
    </a:ln>
  </c:spPr>
  <c:txPr>
    <a:bodyPr/>
    <a:lstStyle/>
    <a:p>
      <a:pPr>
        <a:defRPr sz="1000" b="0" i="0" u="none" strike="noStrike" baseline="0">
          <a:solidFill>
            <a:srgbClr val="000000"/>
          </a:solidFill>
          <a:latin typeface="Arial Cyr"/>
          <a:ea typeface="Arial Cyr"/>
          <a:cs typeface="Arial Cyr"/>
        </a:defRPr>
      </a:pPr>
      <a:endParaRPr lang="ru-RU"/>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a:t>Входящая корреспонденция (шт.)</a:t>
            </a:r>
          </a:p>
        </c:rich>
      </c:tx>
      <c:overlay val="0"/>
      <c:spPr>
        <a:solidFill>
          <a:schemeClr val="bg1"/>
        </a:solidFill>
        <a:ln>
          <a:solidFill>
            <a:schemeClr val="tx1"/>
          </a:solidFill>
        </a:ln>
      </c:spPr>
    </c:title>
    <c:autoTitleDeleted val="0"/>
    <c:view3D>
      <c:rotX val="15"/>
      <c:rotY val="20"/>
      <c:rAngAx val="1"/>
    </c:view3D>
    <c:floor>
      <c:thickness val="0"/>
      <c:spPr>
        <a:blipFill>
          <a:blip xmlns:r="http://schemas.openxmlformats.org/officeDocument/2006/relationships" r:embed="rId1"/>
          <a:tile tx="0" ty="0" sx="100000" sy="100000" flip="none" algn="tl"/>
        </a:blipFill>
      </c:spPr>
    </c:floor>
    <c:sideWall>
      <c:thickness val="0"/>
    </c:sideWall>
    <c:backWall>
      <c:thickness val="0"/>
    </c:backWall>
    <c:plotArea>
      <c:layout/>
      <c:bar3DChart>
        <c:barDir val="col"/>
        <c:grouping val="clustered"/>
        <c:varyColors val="0"/>
        <c:ser>
          <c:idx val="0"/>
          <c:order val="0"/>
          <c:tx>
            <c:strRef>
              <c:f>'Корреспонденция-вход - 9'!$A$3</c:f>
              <c:strCache>
                <c:ptCount val="1"/>
                <c:pt idx="0">
                  <c:v>Входящая корреспонденция (шт.)</c:v>
                </c:pt>
              </c:strCache>
            </c:strRef>
          </c:tx>
          <c:spPr>
            <a:solidFill>
              <a:srgbClr val="0000FF"/>
            </a:solidFill>
          </c:spPr>
          <c:invertIfNegative val="0"/>
          <c:dLbls>
            <c:dLbl>
              <c:idx val="0"/>
              <c:layout>
                <c:manualLayout>
                  <c:x val="8.9087354013634226E-3"/>
                  <c:y val="-1.400420383136756E-2"/>
                </c:manualLayout>
              </c:layout>
              <c:tx>
                <c:rich>
                  <a:bodyPr/>
                  <a:lstStyle/>
                  <a:p>
                    <a:r>
                      <a:rPr lang="en-US"/>
                      <a:t>51 014</a:t>
                    </a:r>
                  </a:p>
                </c:rich>
              </c:tx>
              <c:showLegendKey val="0"/>
              <c:showVal val="1"/>
              <c:showCatName val="0"/>
              <c:showSerName val="0"/>
              <c:showPercent val="0"/>
              <c:showBubbleSize val="0"/>
            </c:dLbl>
            <c:dLbl>
              <c:idx val="1"/>
              <c:layout>
                <c:manualLayout>
                  <c:x val="1.3422818791946326E-2"/>
                  <c:y val="-3.3425469119264709E-2"/>
                </c:manualLayout>
              </c:layout>
              <c:tx>
                <c:rich>
                  <a:bodyPr/>
                  <a:lstStyle/>
                  <a:p>
                    <a:r>
                      <a:rPr lang="en-US"/>
                      <a:t>48 137</a:t>
                    </a:r>
                  </a:p>
                </c:rich>
              </c:tx>
              <c:showLegendKey val="0"/>
              <c:showVal val="1"/>
              <c:showCatName val="0"/>
              <c:showSerName val="0"/>
              <c:showPercent val="0"/>
              <c:showBubbleSize val="0"/>
            </c:dLbl>
            <c:dLbl>
              <c:idx val="2"/>
              <c:layout>
                <c:manualLayout>
                  <c:x val="2.2291743733375759E-2"/>
                  <c:y val="-2.687489789917346E-2"/>
                </c:manualLayout>
              </c:layout>
              <c:tx>
                <c:rich>
                  <a:bodyPr/>
                  <a:lstStyle/>
                  <a:p>
                    <a:r>
                      <a:rPr lang="en-US"/>
                      <a:t>51 036</a:t>
                    </a:r>
                  </a:p>
                </c:rich>
              </c:tx>
              <c:showLegendKey val="0"/>
              <c:showVal val="1"/>
              <c:showCatName val="0"/>
              <c:showSerName val="0"/>
              <c:showPercent val="0"/>
              <c:showBubbleSize val="0"/>
            </c:dLbl>
            <c:dLbl>
              <c:idx val="3"/>
              <c:layout>
                <c:manualLayout>
                  <c:x val="2.5261322200496778E-2"/>
                  <c:y val="-1.0180677622766063E-3"/>
                </c:manualLayout>
              </c:layout>
              <c:tx>
                <c:rich>
                  <a:bodyPr/>
                  <a:lstStyle/>
                  <a:p>
                    <a:r>
                      <a:rPr lang="en-US"/>
                      <a:t>63 782</a:t>
                    </a:r>
                  </a:p>
                </c:rich>
              </c:tx>
              <c:showLegendKey val="0"/>
              <c:showVal val="1"/>
              <c:showCatName val="0"/>
              <c:showSerName val="0"/>
              <c:showPercent val="0"/>
              <c:showBubbleSize val="0"/>
            </c:dLbl>
            <c:txPr>
              <a:bodyPr/>
              <a:lstStyle/>
              <a:p>
                <a:pPr>
                  <a:defRPr sz="800"/>
                </a:pPr>
                <a:endParaRPr lang="ru-RU"/>
              </a:p>
            </c:txPr>
            <c:showLegendKey val="0"/>
            <c:showVal val="1"/>
            <c:showCatName val="0"/>
            <c:showSerName val="0"/>
            <c:showPercent val="0"/>
            <c:showBubbleSize val="0"/>
            <c:showLeaderLines val="0"/>
          </c:dLbls>
          <c:cat>
            <c:strRef>
              <c:f>'Корреспонденция-вход - 9'!$B$2:$E$2</c:f>
              <c:strCache>
                <c:ptCount val="4"/>
                <c:pt idx="0">
                  <c:v>2011 год</c:v>
                </c:pt>
                <c:pt idx="1">
                  <c:v>2012 год</c:v>
                </c:pt>
                <c:pt idx="2">
                  <c:v>2013 год</c:v>
                </c:pt>
                <c:pt idx="3">
                  <c:v>2014 год</c:v>
                </c:pt>
              </c:strCache>
            </c:strRef>
          </c:cat>
          <c:val>
            <c:numRef>
              <c:f>'Корреспонденция-вход - 9'!$B$3:$E$3</c:f>
              <c:numCache>
                <c:formatCode>#,##0</c:formatCode>
                <c:ptCount val="4"/>
                <c:pt idx="0">
                  <c:v>51014</c:v>
                </c:pt>
                <c:pt idx="1">
                  <c:v>48137</c:v>
                </c:pt>
                <c:pt idx="2">
                  <c:v>51036</c:v>
                </c:pt>
                <c:pt idx="3">
                  <c:v>63782</c:v>
                </c:pt>
              </c:numCache>
            </c:numRef>
          </c:val>
          <c:shape val="box"/>
        </c:ser>
        <c:dLbls>
          <c:showLegendKey val="0"/>
          <c:showVal val="1"/>
          <c:showCatName val="0"/>
          <c:showSerName val="0"/>
          <c:showPercent val="0"/>
          <c:showBubbleSize val="0"/>
        </c:dLbls>
        <c:gapWidth val="150"/>
        <c:shape val="cylinder"/>
        <c:axId val="91429504"/>
        <c:axId val="91451776"/>
        <c:axId val="0"/>
      </c:bar3DChart>
      <c:catAx>
        <c:axId val="91429504"/>
        <c:scaling>
          <c:orientation val="minMax"/>
        </c:scaling>
        <c:delete val="0"/>
        <c:axPos val="b"/>
        <c:majorTickMark val="out"/>
        <c:minorTickMark val="none"/>
        <c:tickLblPos val="nextTo"/>
        <c:txPr>
          <a:bodyPr/>
          <a:lstStyle/>
          <a:p>
            <a:pPr>
              <a:defRPr sz="800"/>
            </a:pPr>
            <a:endParaRPr lang="ru-RU"/>
          </a:p>
        </c:txPr>
        <c:crossAx val="91451776"/>
        <c:crosses val="autoZero"/>
        <c:auto val="1"/>
        <c:lblAlgn val="ctr"/>
        <c:lblOffset val="100"/>
        <c:noMultiLvlLbl val="0"/>
      </c:catAx>
      <c:valAx>
        <c:axId val="91451776"/>
        <c:scaling>
          <c:orientation val="minMax"/>
        </c:scaling>
        <c:delete val="0"/>
        <c:axPos val="l"/>
        <c:majorGridlines/>
        <c:numFmt formatCode="#,##0" sourceLinked="1"/>
        <c:majorTickMark val="out"/>
        <c:minorTickMark val="none"/>
        <c:tickLblPos val="nextTo"/>
        <c:txPr>
          <a:bodyPr/>
          <a:lstStyle/>
          <a:p>
            <a:pPr>
              <a:defRPr sz="800"/>
            </a:pPr>
            <a:endParaRPr lang="ru-RU"/>
          </a:p>
        </c:txPr>
        <c:crossAx val="91429504"/>
        <c:crosses val="autoZero"/>
        <c:crossBetween val="between"/>
      </c:valAx>
    </c:plotArea>
    <c:plotVisOnly val="1"/>
    <c:dispBlanksAs val="gap"/>
    <c:showDLblsOverMax val="0"/>
  </c:chart>
  <c:spPr>
    <a:solidFill>
      <a:srgbClr val="FFFFCC"/>
    </a:solidFill>
    <a:ln w="15875">
      <a:solidFill>
        <a:schemeClr val="bg1">
          <a:lumMod val="50000"/>
        </a:schemeClr>
      </a:solidFill>
    </a:ln>
  </c:spPr>
  <c:txPr>
    <a:bodyPr/>
    <a:lstStyle/>
    <a:p>
      <a:pPr>
        <a:defRPr sz="1000" b="1">
          <a:latin typeface="Times New Roman" pitchFamily="18" charset="0"/>
          <a:cs typeface="Times New Roman" pitchFamily="18" charset="0"/>
        </a:defRPr>
      </a:pPr>
      <a:endParaRPr lang="ru-RU"/>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a:t>Исходящая корреспонденция (шт.)</a:t>
            </a:r>
          </a:p>
        </c:rich>
      </c:tx>
      <c:overlay val="0"/>
      <c:spPr>
        <a:solidFill>
          <a:schemeClr val="bg1"/>
        </a:solidFill>
        <a:ln>
          <a:solidFill>
            <a:schemeClr val="tx1"/>
          </a:solidFill>
        </a:ln>
      </c:spPr>
    </c:title>
    <c:autoTitleDeleted val="0"/>
    <c:view3D>
      <c:rotX val="15"/>
      <c:rotY val="20"/>
      <c:rAngAx val="1"/>
    </c:view3D>
    <c:floor>
      <c:thickness val="0"/>
      <c:spPr>
        <a:blipFill>
          <a:blip xmlns:r="http://schemas.openxmlformats.org/officeDocument/2006/relationships" r:embed="rId1"/>
          <a:tile tx="0" ty="0" sx="100000" sy="100000" flip="none" algn="tl"/>
        </a:blipFill>
      </c:spPr>
    </c:floor>
    <c:sideWall>
      <c:thickness val="0"/>
    </c:sideWall>
    <c:backWall>
      <c:thickness val="0"/>
    </c:backWall>
    <c:plotArea>
      <c:layout/>
      <c:bar3DChart>
        <c:barDir val="col"/>
        <c:grouping val="clustered"/>
        <c:varyColors val="0"/>
        <c:ser>
          <c:idx val="0"/>
          <c:order val="0"/>
          <c:tx>
            <c:strRef>
              <c:f>'Корреспонденция-исход - 10'!$A$3</c:f>
              <c:strCache>
                <c:ptCount val="1"/>
                <c:pt idx="0">
                  <c:v>Исходящая корреспонденция (шт.)</c:v>
                </c:pt>
              </c:strCache>
            </c:strRef>
          </c:tx>
          <c:spPr>
            <a:solidFill>
              <a:srgbClr val="C00000"/>
            </a:solidFill>
          </c:spPr>
          <c:invertIfNegative val="0"/>
          <c:dLbls>
            <c:dLbl>
              <c:idx val="0"/>
              <c:layout>
                <c:manualLayout>
                  <c:x val="8.9086330424913204E-3"/>
                  <c:y val="-7.768584011744295E-3"/>
                </c:manualLayout>
              </c:layout>
              <c:tx>
                <c:rich>
                  <a:bodyPr/>
                  <a:lstStyle/>
                  <a:p>
                    <a:r>
                      <a:rPr lang="en-US"/>
                      <a:t>60 971</a:t>
                    </a:r>
                  </a:p>
                </c:rich>
              </c:tx>
              <c:showLegendKey val="0"/>
              <c:showVal val="1"/>
              <c:showCatName val="0"/>
              <c:showSerName val="0"/>
              <c:showPercent val="0"/>
              <c:showBubbleSize val="0"/>
            </c:dLbl>
            <c:dLbl>
              <c:idx val="1"/>
              <c:layout>
                <c:manualLayout>
                  <c:x val="0"/>
                  <c:y val="-2.1657102184260923E-2"/>
                </c:manualLayout>
              </c:layout>
              <c:tx>
                <c:rich>
                  <a:bodyPr/>
                  <a:lstStyle/>
                  <a:p>
                    <a:r>
                      <a:rPr lang="en-US"/>
                      <a:t>59 569</a:t>
                    </a:r>
                  </a:p>
                </c:rich>
              </c:tx>
              <c:showLegendKey val="0"/>
              <c:showVal val="1"/>
              <c:showCatName val="0"/>
              <c:showSerName val="0"/>
              <c:showPercent val="0"/>
              <c:showBubbleSize val="0"/>
            </c:dLbl>
            <c:dLbl>
              <c:idx val="2"/>
              <c:layout>
                <c:manualLayout>
                  <c:x val="1.331276158047812E-2"/>
                  <c:y val="-9.8087103518839976E-3"/>
                </c:manualLayout>
              </c:layout>
              <c:tx>
                <c:rich>
                  <a:bodyPr/>
                  <a:lstStyle/>
                  <a:p>
                    <a:r>
                      <a:rPr lang="en-US"/>
                      <a:t>71 299</a:t>
                    </a:r>
                  </a:p>
                </c:rich>
              </c:tx>
              <c:showLegendKey val="0"/>
              <c:showVal val="1"/>
              <c:showCatName val="0"/>
              <c:showSerName val="0"/>
              <c:showPercent val="0"/>
              <c:showBubbleSize val="0"/>
            </c:dLbl>
            <c:dLbl>
              <c:idx val="3"/>
              <c:layout>
                <c:manualLayout>
                  <c:x val="2.078704688940915E-2"/>
                  <c:y val="-6.1991191778993787E-3"/>
                </c:manualLayout>
              </c:layout>
              <c:tx>
                <c:rich>
                  <a:bodyPr/>
                  <a:lstStyle/>
                  <a:p>
                    <a:r>
                      <a:rPr lang="en-US"/>
                      <a:t>72 652</a:t>
                    </a:r>
                  </a:p>
                </c:rich>
              </c:tx>
              <c:showLegendKey val="0"/>
              <c:showVal val="1"/>
              <c:showCatName val="0"/>
              <c:showSerName val="0"/>
              <c:showPercent val="0"/>
              <c:showBubbleSize val="0"/>
            </c:dLbl>
            <c:txPr>
              <a:bodyPr/>
              <a:lstStyle/>
              <a:p>
                <a:pPr>
                  <a:defRPr sz="800"/>
                </a:pPr>
                <a:endParaRPr lang="ru-RU"/>
              </a:p>
            </c:txPr>
            <c:showLegendKey val="0"/>
            <c:showVal val="1"/>
            <c:showCatName val="0"/>
            <c:showSerName val="0"/>
            <c:showPercent val="0"/>
            <c:showBubbleSize val="0"/>
            <c:showLeaderLines val="0"/>
          </c:dLbls>
          <c:cat>
            <c:strRef>
              <c:f>'Корреспонденция-исход - 10'!$B$2:$E$2</c:f>
              <c:strCache>
                <c:ptCount val="4"/>
                <c:pt idx="0">
                  <c:v>2011 год</c:v>
                </c:pt>
                <c:pt idx="1">
                  <c:v>2012 год</c:v>
                </c:pt>
                <c:pt idx="2">
                  <c:v>2013 год</c:v>
                </c:pt>
                <c:pt idx="3">
                  <c:v>2014 год</c:v>
                </c:pt>
              </c:strCache>
            </c:strRef>
          </c:cat>
          <c:val>
            <c:numRef>
              <c:f>'Корреспонденция-исход - 10'!$B$3:$E$3</c:f>
              <c:numCache>
                <c:formatCode>#,##0</c:formatCode>
                <c:ptCount val="4"/>
                <c:pt idx="0">
                  <c:v>60971</c:v>
                </c:pt>
                <c:pt idx="1">
                  <c:v>59569</c:v>
                </c:pt>
                <c:pt idx="2">
                  <c:v>71299</c:v>
                </c:pt>
                <c:pt idx="3">
                  <c:v>72652</c:v>
                </c:pt>
              </c:numCache>
            </c:numRef>
          </c:val>
          <c:shape val="box"/>
        </c:ser>
        <c:dLbls>
          <c:showLegendKey val="0"/>
          <c:showVal val="1"/>
          <c:showCatName val="0"/>
          <c:showSerName val="0"/>
          <c:showPercent val="0"/>
          <c:showBubbleSize val="0"/>
        </c:dLbls>
        <c:gapWidth val="150"/>
        <c:shape val="cylinder"/>
        <c:axId val="91485312"/>
        <c:axId val="91486848"/>
        <c:axId val="0"/>
      </c:bar3DChart>
      <c:catAx>
        <c:axId val="91485312"/>
        <c:scaling>
          <c:orientation val="minMax"/>
        </c:scaling>
        <c:delete val="0"/>
        <c:axPos val="b"/>
        <c:majorTickMark val="out"/>
        <c:minorTickMark val="none"/>
        <c:tickLblPos val="nextTo"/>
        <c:txPr>
          <a:bodyPr/>
          <a:lstStyle/>
          <a:p>
            <a:pPr>
              <a:defRPr sz="800"/>
            </a:pPr>
            <a:endParaRPr lang="ru-RU"/>
          </a:p>
        </c:txPr>
        <c:crossAx val="91486848"/>
        <c:crosses val="autoZero"/>
        <c:auto val="1"/>
        <c:lblAlgn val="ctr"/>
        <c:lblOffset val="100"/>
        <c:noMultiLvlLbl val="0"/>
      </c:catAx>
      <c:valAx>
        <c:axId val="91486848"/>
        <c:scaling>
          <c:orientation val="minMax"/>
        </c:scaling>
        <c:delete val="0"/>
        <c:axPos val="l"/>
        <c:majorGridlines/>
        <c:numFmt formatCode="#,##0" sourceLinked="1"/>
        <c:majorTickMark val="out"/>
        <c:minorTickMark val="none"/>
        <c:tickLblPos val="nextTo"/>
        <c:txPr>
          <a:bodyPr/>
          <a:lstStyle/>
          <a:p>
            <a:pPr>
              <a:defRPr sz="800"/>
            </a:pPr>
            <a:endParaRPr lang="ru-RU"/>
          </a:p>
        </c:txPr>
        <c:crossAx val="91485312"/>
        <c:crosses val="autoZero"/>
        <c:crossBetween val="between"/>
      </c:valAx>
    </c:plotArea>
    <c:plotVisOnly val="1"/>
    <c:dispBlanksAs val="gap"/>
    <c:showDLblsOverMax val="0"/>
  </c:chart>
  <c:spPr>
    <a:solidFill>
      <a:srgbClr val="FFFFCC"/>
    </a:solidFill>
    <a:ln w="15875">
      <a:solidFill>
        <a:schemeClr val="bg1">
          <a:lumMod val="50000"/>
        </a:schemeClr>
      </a:solidFill>
    </a:ln>
  </c:spPr>
  <c:txPr>
    <a:bodyPr/>
    <a:lstStyle/>
    <a:p>
      <a:pPr>
        <a:defRPr sz="1000" b="1">
          <a:latin typeface="Times New Roman" pitchFamily="18" charset="0"/>
          <a:cs typeface="Times New Roman" pitchFamily="18" charset="0"/>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9F4AEE-D0B5-47CF-A43A-308A7DC06E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Письмо</Template>
  <TotalTime>1</TotalTime>
  <Pages>9</Pages>
  <Words>2560</Words>
  <Characters>14597</Characters>
  <Application>Microsoft Office Word</Application>
  <DocSecurity>4</DocSecurity>
  <Lines>121</Lines>
  <Paragraphs>34</Paragraphs>
  <ScaleCrop>false</ScaleCrop>
  <HeadingPairs>
    <vt:vector size="2" baseType="variant">
      <vt:variant>
        <vt:lpstr>Название</vt:lpstr>
      </vt:variant>
      <vt:variant>
        <vt:i4>1</vt:i4>
      </vt:variant>
    </vt:vector>
  </HeadingPairs>
  <TitlesOfParts>
    <vt:vector size="1" baseType="lpstr">
      <vt:lpstr>  </vt:lpstr>
    </vt:vector>
  </TitlesOfParts>
  <Company/>
  <LinksUpToDate>false</LinksUpToDate>
  <CharactersWithSpaces>17123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Владимир В. Кононенко</dc:creator>
  <cp:lastModifiedBy>Марутова Лидия Владимировна</cp:lastModifiedBy>
  <cp:revision>2</cp:revision>
  <cp:lastPrinted>2015-01-30T06:50:00Z</cp:lastPrinted>
  <dcterms:created xsi:type="dcterms:W3CDTF">2019-12-11T11:42:00Z</dcterms:created>
  <dcterms:modified xsi:type="dcterms:W3CDTF">2019-12-11T11:42:00Z</dcterms:modified>
</cp:coreProperties>
</file>