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E7" w:rsidRDefault="00F17823" w:rsidP="004F344A">
      <w:pPr>
        <w:tabs>
          <w:tab w:val="left" w:pos="5245"/>
          <w:tab w:val="left" w:pos="5529"/>
        </w:tabs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503E7" w:rsidRDefault="00F3490F" w:rsidP="004F344A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B503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503E7" w:rsidRDefault="00B503E7" w:rsidP="004F344A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503E7" w:rsidRDefault="00B503E7" w:rsidP="004F344A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Астрахань» </w:t>
      </w:r>
    </w:p>
    <w:p w:rsidR="00F3490F" w:rsidRDefault="00B503E7" w:rsidP="004F344A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№______</w:t>
      </w:r>
    </w:p>
    <w:p w:rsidR="009A3828" w:rsidRDefault="009A3828" w:rsidP="004F344A">
      <w:pPr>
        <w:tabs>
          <w:tab w:val="left" w:pos="5387"/>
          <w:tab w:val="left" w:pos="5529"/>
        </w:tabs>
        <w:spacing w:after="0"/>
        <w:ind w:right="141"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9A3828" w:rsidRDefault="009A3828" w:rsidP="004F344A">
      <w:pPr>
        <w:spacing w:after="0"/>
        <w:ind w:right="141"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67138" w:rsidRDefault="003F19BD" w:rsidP="004F344A">
      <w:pPr>
        <w:tabs>
          <w:tab w:val="left" w:pos="4962"/>
          <w:tab w:val="left" w:pos="5245"/>
        </w:tabs>
        <w:spacing w:after="0"/>
        <w:ind w:left="-142" w:right="850"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70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A3828" w:rsidRDefault="003F19BD" w:rsidP="004F344A">
      <w:pPr>
        <w:tabs>
          <w:tab w:val="left" w:pos="4962"/>
          <w:tab w:val="left" w:pos="5245"/>
        </w:tabs>
        <w:spacing w:after="0"/>
        <w:ind w:left="-142" w:right="-1"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3828">
        <w:rPr>
          <w:rFonts w:ascii="Times New Roman" w:hAnsi="Times New Roman" w:cs="Times New Roman"/>
          <w:sz w:val="24"/>
          <w:szCs w:val="24"/>
        </w:rPr>
        <w:t xml:space="preserve">«Город Астрахань» </w:t>
      </w:r>
    </w:p>
    <w:p w:rsidR="00ED1147" w:rsidRDefault="009A3828" w:rsidP="004F344A">
      <w:pPr>
        <w:tabs>
          <w:tab w:val="left" w:pos="5387"/>
        </w:tabs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№8914 от 18.12.2015</w:t>
      </w:r>
    </w:p>
    <w:p w:rsidR="00ED1147" w:rsidRDefault="00ED1147" w:rsidP="00ED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E7" w:rsidRDefault="00B503E7" w:rsidP="00EF5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343" w:rsidRDefault="00DC7594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1534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503E7" w:rsidRDefault="00DC7594" w:rsidP="00315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Астрахань»</w:t>
      </w:r>
      <w:r w:rsidR="007C3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«</w:t>
      </w:r>
      <w:r w:rsidR="00E32A73">
        <w:rPr>
          <w:rFonts w:ascii="Times New Roman" w:hAnsi="Times New Roman" w:cs="Times New Roman"/>
          <w:b/>
          <w:sz w:val="28"/>
          <w:szCs w:val="28"/>
        </w:rPr>
        <w:t>Охрана окружающей среды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»</w:t>
      </w:r>
    </w:p>
    <w:p w:rsidR="00DC7594" w:rsidRPr="00DC7594" w:rsidRDefault="00DC7594" w:rsidP="00DC7594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07A57" w:rsidRDefault="00407A57" w:rsidP="00407A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503E7" w:rsidTr="00B503E7"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786" w:type="dxa"/>
          </w:tcPr>
          <w:p w:rsidR="00B503E7" w:rsidRPr="008671E3" w:rsidRDefault="008671E3" w:rsidP="00474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1E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образования «Город Астрахань» «</w:t>
            </w:r>
            <w:r w:rsidR="00E32A73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  <w:r w:rsidRPr="008671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20F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B503E7" w:rsidTr="00B503E7"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4786" w:type="dxa"/>
          </w:tcPr>
          <w:p w:rsidR="00B503E7" w:rsidRPr="008671E3" w:rsidRDefault="00052CDC" w:rsidP="00867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муниципальных </w:t>
            </w:r>
            <w:r w:rsidR="00647085">
              <w:rPr>
                <w:rFonts w:ascii="Times New Roman" w:hAnsi="Times New Roman" w:cs="Times New Roman"/>
                <w:sz w:val="28"/>
                <w:szCs w:val="28"/>
              </w:rPr>
              <w:t>программ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«Город Астрахань», </w:t>
            </w:r>
            <w:r w:rsidR="00647085">
              <w:rPr>
                <w:rFonts w:ascii="Times New Roman" w:hAnsi="Times New Roman" w:cs="Times New Roman"/>
                <w:sz w:val="28"/>
                <w:szCs w:val="28"/>
              </w:rPr>
              <w:t>утвержденный распоряжением</w:t>
            </w:r>
            <w:r w:rsidR="008671E3" w:rsidRPr="008671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№607-р от 27.05.2015 </w:t>
            </w:r>
            <w:proofErr w:type="spellStart"/>
            <w:r w:rsidR="008671E3" w:rsidRPr="008671E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647085" w:rsidRPr="006470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647085" w:rsidRPr="00647085">
              <w:rPr>
                <w:rFonts w:ascii="Times New Roman" w:hAnsi="Times New Roman" w:cs="Times New Roman"/>
                <w:sz w:val="28"/>
                <w:szCs w:val="28"/>
              </w:rPr>
              <w:t xml:space="preserve">   изменениями, внесенными Распоряжением администрации муниципального образования «Город Астрахань» от 21.03.2016 № 193-р</w:t>
            </w:r>
            <w:r w:rsidR="00677109">
              <w:rPr>
                <w:rFonts w:ascii="Times New Roman" w:hAnsi="Times New Roman" w:cs="Times New Roman"/>
                <w:sz w:val="28"/>
                <w:szCs w:val="28"/>
              </w:rPr>
              <w:t>, от 21.10.2016 № 1534-р</w:t>
            </w:r>
          </w:p>
        </w:tc>
      </w:tr>
      <w:tr w:rsidR="00B503E7" w:rsidTr="00B503E7"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:rsidR="00B503E7" w:rsidRPr="008671E3" w:rsidRDefault="008671E3" w:rsidP="00FA3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1E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коммунальному хозяйству и благоустройству администрации </w:t>
            </w:r>
            <w:r w:rsidR="00FA36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32075F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</w:p>
        </w:tc>
      </w:tr>
      <w:tr w:rsidR="00B503E7" w:rsidTr="00B503E7"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Соисполнитель муниципальной программы (участник)</w:t>
            </w:r>
          </w:p>
        </w:tc>
        <w:tc>
          <w:tcPr>
            <w:tcW w:w="4786" w:type="dxa"/>
          </w:tcPr>
          <w:p w:rsidR="00B503E7" w:rsidRPr="008671E3" w:rsidRDefault="00DD2198" w:rsidP="00867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B503E7" w:rsidTr="00B503E7"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4786" w:type="dxa"/>
          </w:tcPr>
          <w:p w:rsidR="00B503E7" w:rsidRPr="00027CF8" w:rsidRDefault="006E372B" w:rsidP="00E32A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B503E7" w:rsidTr="00677109">
        <w:trPr>
          <w:trHeight w:val="1195"/>
        </w:trPr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4786" w:type="dxa"/>
          </w:tcPr>
          <w:p w:rsidR="00B503E7" w:rsidRPr="00027CF8" w:rsidRDefault="00B923B2" w:rsidP="00FA3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3B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экологической обстановки на территории </w:t>
            </w:r>
            <w:r w:rsidR="00FA36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6E372B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FA3642">
              <w:rPr>
                <w:rFonts w:ascii="Times New Roman" w:hAnsi="Times New Roman" w:cs="Times New Roman"/>
                <w:sz w:val="28"/>
                <w:szCs w:val="28"/>
              </w:rPr>
              <w:t xml:space="preserve"> (далее-город Астрахань)</w:t>
            </w:r>
          </w:p>
        </w:tc>
      </w:tr>
      <w:tr w:rsidR="00B503E7" w:rsidTr="00B503E7">
        <w:tc>
          <w:tcPr>
            <w:tcW w:w="4785" w:type="dxa"/>
          </w:tcPr>
          <w:p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B503E7" w:rsidRPr="00873748" w:rsidRDefault="0013748C" w:rsidP="00027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Основными задачами П</w:t>
            </w:r>
            <w:r w:rsidR="00027CF8" w:rsidRPr="00873748">
              <w:rPr>
                <w:rFonts w:ascii="Times New Roman" w:hAnsi="Times New Roman" w:cs="Times New Roman"/>
                <w:sz w:val="28"/>
                <w:szCs w:val="28"/>
              </w:rPr>
              <w:t>рограммы явля</w:t>
            </w:r>
            <w:r w:rsidR="0031513E" w:rsidRPr="0087374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27CF8" w:rsidRPr="00873748">
              <w:rPr>
                <w:rFonts w:ascii="Times New Roman" w:hAnsi="Times New Roman" w:cs="Times New Roman"/>
                <w:sz w:val="28"/>
                <w:szCs w:val="28"/>
              </w:rPr>
              <w:t>тся:</w:t>
            </w:r>
          </w:p>
          <w:p w:rsidR="00B923B2" w:rsidRPr="00873748" w:rsidRDefault="00027CF8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513E" w:rsidRPr="008737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оддержание </w:t>
            </w:r>
            <w:r w:rsidR="00EE50E6" w:rsidRPr="00873748">
              <w:rPr>
                <w:rFonts w:ascii="Times New Roman" w:hAnsi="Times New Roman" w:cs="Times New Roman"/>
                <w:sz w:val="28"/>
                <w:szCs w:val="28"/>
              </w:rPr>
              <w:t>качественного состояния</w:t>
            </w:r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внутригородских водоемов;</w:t>
            </w:r>
          </w:p>
          <w:p w:rsidR="00120385" w:rsidRPr="00873748" w:rsidRDefault="00B923B2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обеспечение охраны земельных ресурсов (восстановление нарушенных земель)</w:t>
            </w:r>
            <w:r w:rsidR="00F11B4F" w:rsidRPr="00873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B4F" w:rsidRDefault="00F11B4F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поддержание санитарного состояния на т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ерритории контейнерных площадок;</w:t>
            </w:r>
          </w:p>
          <w:p w:rsidR="00DD2198" w:rsidRPr="00873748" w:rsidRDefault="00DD2198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-регистрация права собственности на объекты инженерной защиты г. Астрахани</w:t>
            </w:r>
          </w:p>
        </w:tc>
      </w:tr>
      <w:tr w:rsidR="00B503E7" w:rsidTr="00B503E7">
        <w:tc>
          <w:tcPr>
            <w:tcW w:w="4785" w:type="dxa"/>
          </w:tcPr>
          <w:p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4786" w:type="dxa"/>
          </w:tcPr>
          <w:p w:rsidR="00B923B2" w:rsidRPr="00873748" w:rsidRDefault="0091043F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592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доля территории, на которой улучшилась экологическая обстановка от общей </w:t>
            </w:r>
            <w:r w:rsidR="008C040D" w:rsidRPr="00873748">
              <w:rPr>
                <w:rFonts w:ascii="Times New Roman" w:hAnsi="Times New Roman" w:cs="Times New Roman"/>
                <w:sz w:val="28"/>
                <w:szCs w:val="28"/>
              </w:rPr>
              <w:t>площади экологически</w:t>
            </w:r>
            <w:r w:rsidR="00EF592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загрязненной территории</w:t>
            </w:r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3B2" w:rsidRPr="00873748" w:rsidRDefault="00B923B2" w:rsidP="00B92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5343" w:rsidRPr="0087374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E50E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31513E" w:rsidRPr="00873748">
              <w:rPr>
                <w:rFonts w:ascii="Times New Roman" w:hAnsi="Times New Roman" w:cs="Times New Roman"/>
                <w:sz w:val="28"/>
                <w:szCs w:val="28"/>
              </w:rPr>
              <w:t>ликвидированных</w:t>
            </w:r>
            <w:r w:rsidR="00EE50E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</w:t>
            </w:r>
            <w:r w:rsidR="0031513E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4D71" w:rsidRPr="00873748">
              <w:rPr>
                <w:rFonts w:ascii="Times New Roman" w:hAnsi="Times New Roman" w:cs="Times New Roman"/>
                <w:sz w:val="28"/>
                <w:szCs w:val="28"/>
              </w:rPr>
              <w:t>выявленных при</w:t>
            </w:r>
            <w:r w:rsidR="00EE50E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качества внутригородских водоемов;</w:t>
            </w:r>
          </w:p>
          <w:p w:rsidR="00FD3E53" w:rsidRPr="00873748" w:rsidRDefault="00315343" w:rsidP="00103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proofErr w:type="spellStart"/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>рекультивируемых</w:t>
            </w:r>
            <w:proofErr w:type="spellEnd"/>
            <w:r w:rsidR="00B923B2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  <w:r w:rsidR="0031513E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</w:t>
            </w:r>
            <w:r w:rsidR="00474D71" w:rsidRPr="00873748">
              <w:rPr>
                <w:rFonts w:ascii="Times New Roman" w:hAnsi="Times New Roman" w:cs="Times New Roman"/>
                <w:sz w:val="28"/>
                <w:szCs w:val="28"/>
              </w:rPr>
              <w:t>ва земель</w:t>
            </w:r>
            <w:r w:rsidR="001036B2" w:rsidRPr="00873748">
              <w:rPr>
                <w:rFonts w:ascii="Times New Roman" w:hAnsi="Times New Roman" w:cs="Times New Roman"/>
                <w:sz w:val="28"/>
                <w:szCs w:val="28"/>
              </w:rPr>
              <w:t>, подлежащих рекультивации</w:t>
            </w:r>
            <w:r w:rsidR="00F11B4F" w:rsidRPr="00873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B4F" w:rsidRDefault="00F11B4F" w:rsidP="00103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оличество контейнерных площадок;</w:t>
            </w:r>
          </w:p>
          <w:p w:rsidR="00DD2198" w:rsidRPr="00873748" w:rsidRDefault="00DD2198" w:rsidP="00103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-степень выполнения Задачи</w:t>
            </w:r>
          </w:p>
        </w:tc>
      </w:tr>
      <w:tr w:rsidR="00B503E7" w:rsidTr="00873748">
        <w:trPr>
          <w:trHeight w:val="665"/>
        </w:trPr>
        <w:tc>
          <w:tcPr>
            <w:tcW w:w="4785" w:type="dxa"/>
          </w:tcPr>
          <w:p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786" w:type="dxa"/>
          </w:tcPr>
          <w:p w:rsidR="00B503E7" w:rsidRPr="00873748" w:rsidRDefault="00322C63" w:rsidP="00DD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E865D1" w:rsidRPr="0087374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8659AE" w:rsidRPr="0087374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865D1" w:rsidRPr="0087374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503E7" w:rsidTr="00B503E7">
        <w:tc>
          <w:tcPr>
            <w:tcW w:w="4785" w:type="dxa"/>
          </w:tcPr>
          <w:p w:rsidR="00B503E7" w:rsidRPr="00873748" w:rsidRDefault="00B503E7" w:rsidP="006E3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4786" w:type="dxa"/>
          </w:tcPr>
          <w:p w:rsidR="00C30E71" w:rsidRPr="00873748" w:rsidRDefault="00A651BD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3B1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бъем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</w:t>
            </w:r>
            <w:r w:rsidR="00E942C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пальной программы составляет: 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73 995 870,00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</w:t>
            </w:r>
            <w:r w:rsidR="008C040D" w:rsidRPr="00873748">
              <w:rPr>
                <w:rFonts w:ascii="Times New Roman" w:hAnsi="Times New Roman" w:cs="Times New Roman"/>
                <w:sz w:val="28"/>
                <w:szCs w:val="28"/>
              </w:rPr>
              <w:t>числе: Бюджет</w:t>
            </w:r>
            <w:r w:rsidR="00C30E71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-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C30E71" w:rsidRPr="00873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835" w:rsidRPr="0087374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30E71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C30E71" w:rsidRPr="00873748" w:rsidRDefault="00C30E71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160,00 руб.,</w:t>
            </w:r>
          </w:p>
          <w:p w:rsidR="00C30E71" w:rsidRPr="00873748" w:rsidRDefault="00C30E71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A33835" w:rsidRPr="008737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,00 руб.,</w:t>
            </w:r>
          </w:p>
          <w:p w:rsidR="00C30E71" w:rsidRPr="00873748" w:rsidRDefault="004E57DD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0E71" w:rsidRPr="00873748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5DB2" w:rsidRDefault="00975DB2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2198" w:rsidRDefault="00DD2198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год-0,00 руб.</w:t>
            </w:r>
          </w:p>
          <w:p w:rsidR="00DD2198" w:rsidRPr="00873748" w:rsidRDefault="00DD2198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145" w:rsidRPr="00873748" w:rsidRDefault="00C30E71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74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E372B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222" w:rsidRPr="00873748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D2198" w:rsidRPr="00DD2198">
              <w:rPr>
                <w:rFonts w:ascii="Times New Roman" w:hAnsi="Times New Roman" w:cs="Times New Roman"/>
                <w:sz w:val="28"/>
                <w:szCs w:val="28"/>
              </w:rPr>
              <w:t>73 995 870,00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3B1" w:rsidRPr="00873748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AF53B1" w:rsidRPr="00873748" w:rsidRDefault="00AF53B1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AF53B1" w:rsidRPr="00873748" w:rsidRDefault="00474D71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137" w:rsidRPr="008737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E" w:rsidRPr="0087374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1BAE" w:rsidRPr="0087374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E" w:rsidRPr="00873748">
              <w:rPr>
                <w:rFonts w:ascii="Times New Roman" w:hAnsi="Times New Roman" w:cs="Times New Roman"/>
                <w:sz w:val="28"/>
                <w:szCs w:val="28"/>
              </w:rPr>
              <w:t>496,7</w:t>
            </w:r>
            <w:r w:rsidR="00073145" w:rsidRPr="008737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AF53B1" w:rsidRPr="00873748" w:rsidRDefault="00474D71" w:rsidP="00C30E7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2017год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137" w:rsidRPr="008737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3 918 693,28</w:t>
            </w:r>
            <w:r w:rsidR="00CE4932" w:rsidRPr="00873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00 руб.;</w:t>
            </w:r>
          </w:p>
          <w:p w:rsidR="00B943D3" w:rsidRPr="00873748" w:rsidRDefault="00AF53B1" w:rsidP="0097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F11B4F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4 978 560</w:t>
            </w:r>
            <w:r w:rsidR="003B6FE7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975DB2" w:rsidRPr="00873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5DB2" w:rsidRDefault="00975DB2" w:rsidP="0097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D2198" w:rsidRPr="00DD2198">
              <w:rPr>
                <w:rFonts w:ascii="Times New Roman" w:hAnsi="Times New Roman" w:cs="Times New Roman"/>
                <w:sz w:val="28"/>
                <w:szCs w:val="28"/>
              </w:rPr>
              <w:t>4 978 560</w:t>
            </w:r>
            <w:r w:rsidR="00B95351" w:rsidRPr="00B95351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2198" w:rsidRPr="00873748" w:rsidRDefault="00DD2198" w:rsidP="0097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Pr="00DD2198">
              <w:rPr>
                <w:rFonts w:ascii="Times New Roman" w:hAnsi="Times New Roman" w:cs="Times New Roman"/>
                <w:sz w:val="28"/>
                <w:szCs w:val="28"/>
              </w:rPr>
              <w:t>4 978 560,00 руб.</w:t>
            </w:r>
          </w:p>
        </w:tc>
      </w:tr>
      <w:tr w:rsidR="00B503E7" w:rsidTr="00B503E7">
        <w:tc>
          <w:tcPr>
            <w:tcW w:w="4785" w:type="dxa"/>
          </w:tcPr>
          <w:p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4786" w:type="dxa"/>
          </w:tcPr>
          <w:p w:rsidR="00B503E7" w:rsidRPr="00873748" w:rsidRDefault="006E372B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</w:t>
            </w:r>
            <w:r w:rsidR="00474D71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F1C1C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ожидается</w:t>
            </w:r>
            <w:r w:rsidR="00632FA8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дости</w:t>
            </w:r>
            <w:r w:rsidR="00CE4932" w:rsidRPr="00873748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="00632FA8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следующих результатов:</w:t>
            </w:r>
          </w:p>
          <w:p w:rsidR="009D212A" w:rsidRPr="00873748" w:rsidRDefault="009D212A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увеличение доли</w:t>
            </w:r>
            <w:r w:rsidR="00EF592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на которой улучшилась экологическая обстановка от общей </w:t>
            </w:r>
            <w:r w:rsidR="008C040D" w:rsidRPr="00873748">
              <w:rPr>
                <w:rFonts w:ascii="Times New Roman" w:hAnsi="Times New Roman" w:cs="Times New Roman"/>
                <w:sz w:val="28"/>
                <w:szCs w:val="28"/>
              </w:rPr>
              <w:t>площади экологически</w:t>
            </w:r>
            <w:r w:rsidR="00EF5926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загрязненной территории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D212A" w:rsidRPr="00873748" w:rsidRDefault="009D212A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4D71" w:rsidRPr="00873748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ликвидированных нарушений, </w:t>
            </w:r>
            <w:r w:rsidR="00315343" w:rsidRPr="00873748">
              <w:rPr>
                <w:rFonts w:ascii="Times New Roman" w:hAnsi="Times New Roman" w:cs="Times New Roman"/>
                <w:sz w:val="28"/>
                <w:szCs w:val="28"/>
              </w:rPr>
              <w:t>выявленных при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качества внутригородских водоемов до 100%</w:t>
            </w:r>
            <w:r w:rsidR="001036B2"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(ежегодно)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03B8" w:rsidRPr="00873748" w:rsidRDefault="009D212A" w:rsidP="00C30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увеличение доли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рекультивируемых</w:t>
            </w:r>
            <w:proofErr w:type="spellEnd"/>
            <w:r w:rsidRPr="00873748">
              <w:rPr>
                <w:rFonts w:ascii="Times New Roman" w:hAnsi="Times New Roman" w:cs="Times New Roman"/>
                <w:sz w:val="28"/>
                <w:szCs w:val="28"/>
              </w:rPr>
              <w:t xml:space="preserve"> земель от общего </w:t>
            </w:r>
            <w:r w:rsidR="001036B2" w:rsidRPr="00873748">
              <w:rPr>
                <w:rFonts w:ascii="Times New Roman" w:hAnsi="Times New Roman" w:cs="Times New Roman"/>
                <w:sz w:val="28"/>
                <w:szCs w:val="28"/>
              </w:rPr>
              <w:t>количества земель, подлежащих рекультивации</w:t>
            </w:r>
            <w:r w:rsidR="00A668A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F11B4F" w:rsidRPr="008737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B4F" w:rsidRDefault="00F11B4F" w:rsidP="006175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sz w:val="28"/>
                <w:szCs w:val="28"/>
              </w:rPr>
              <w:t>- коли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чество контейнерных площадок </w:t>
            </w:r>
            <w:r w:rsidR="008C040D" w:rsidRPr="00873748">
              <w:rPr>
                <w:rFonts w:ascii="Times New Roman" w:hAnsi="Times New Roman" w:cs="Times New Roman"/>
                <w:sz w:val="28"/>
                <w:szCs w:val="28"/>
              </w:rPr>
              <w:t>248 шт.</w:t>
            </w:r>
            <w:r w:rsidR="009C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5D4">
              <w:rPr>
                <w:rFonts w:ascii="Times New Roman" w:hAnsi="Times New Roman" w:cs="Times New Roman"/>
                <w:sz w:val="28"/>
                <w:szCs w:val="28"/>
              </w:rPr>
              <w:t>в 2016 г.</w:t>
            </w:r>
            <w:r w:rsidR="00DD21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2198" w:rsidRPr="00873748" w:rsidRDefault="00DD2198" w:rsidP="006175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-степень выполнения Задачи до 100%</w:t>
            </w:r>
          </w:p>
        </w:tc>
      </w:tr>
      <w:tr w:rsidR="00B503E7" w:rsidTr="003658FE">
        <w:trPr>
          <w:trHeight w:val="1265"/>
        </w:trPr>
        <w:tc>
          <w:tcPr>
            <w:tcW w:w="4785" w:type="dxa"/>
          </w:tcPr>
          <w:p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4786" w:type="dxa"/>
          </w:tcPr>
          <w:p w:rsidR="001D38FB" w:rsidRPr="00CD19AE" w:rsidRDefault="00CD19AE" w:rsidP="00FA3642">
            <w:pPr>
              <w:tabs>
                <w:tab w:val="left" w:pos="6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9AE">
              <w:rPr>
                <w:rFonts w:ascii="Times New Roman" w:hAnsi="Times New Roman" w:cs="Times New Roman"/>
                <w:sz w:val="28"/>
                <w:szCs w:val="28"/>
              </w:rPr>
              <w:t>Управление по коммунальному хозяйству и благоу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стройству администрации </w:t>
            </w:r>
            <w:r w:rsidR="00FA36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272AB6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474D7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контроль за реализацией Программы</w:t>
            </w:r>
          </w:p>
        </w:tc>
      </w:tr>
    </w:tbl>
    <w:p w:rsidR="001036B2" w:rsidRDefault="001036B2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5E19" w:rsidRPr="00076CE6" w:rsidRDefault="00DD5E19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5E19" w:rsidRDefault="00A123CF" w:rsidP="00DD5E19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E8">
        <w:rPr>
          <w:rFonts w:ascii="Times New Roman" w:hAnsi="Times New Roman" w:cs="Times New Roman"/>
          <w:b/>
          <w:sz w:val="28"/>
          <w:szCs w:val="28"/>
        </w:rPr>
        <w:t>Характеристика проблемы в рассматриваемой сфере и прогноз развития ситуации с учетом реал</w:t>
      </w:r>
      <w:r w:rsidR="009D212A" w:rsidRPr="00E57BE8">
        <w:rPr>
          <w:rFonts w:ascii="Times New Roman" w:hAnsi="Times New Roman" w:cs="Times New Roman"/>
          <w:b/>
          <w:sz w:val="28"/>
          <w:szCs w:val="28"/>
        </w:rPr>
        <w:t>изации муниципальной программы</w:t>
      </w:r>
    </w:p>
    <w:p w:rsidR="00DD5E19" w:rsidRPr="00DD5E19" w:rsidRDefault="00DD5E19" w:rsidP="00DD5E1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23B2" w:rsidRPr="00B923B2" w:rsidRDefault="00E57BE8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охраны окружающей среды города Астрахани относятся загрязнение почв и деградация земель в результате накопления ТБО, загрязнение водоемов и воздуха.</w:t>
      </w:r>
    </w:p>
    <w:p w:rsidR="00B923B2" w:rsidRPr="00B923B2" w:rsidRDefault="00B923B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B2">
        <w:rPr>
          <w:rFonts w:ascii="Times New Roman" w:hAnsi="Times New Roman" w:cs="Times New Roman"/>
          <w:sz w:val="28"/>
          <w:szCs w:val="28"/>
        </w:rPr>
        <w:t xml:space="preserve">Бытовые отходы от жилищного сектора города Астрахани, а </w:t>
      </w:r>
      <w:r w:rsidR="00272AB6" w:rsidRPr="00B923B2">
        <w:rPr>
          <w:rFonts w:ascii="Times New Roman" w:hAnsi="Times New Roman" w:cs="Times New Roman"/>
          <w:sz w:val="28"/>
          <w:szCs w:val="28"/>
        </w:rPr>
        <w:t>также</w:t>
      </w:r>
      <w:r w:rsidRPr="00B923B2">
        <w:rPr>
          <w:rFonts w:ascii="Times New Roman" w:hAnsi="Times New Roman" w:cs="Times New Roman"/>
          <w:sz w:val="28"/>
          <w:szCs w:val="28"/>
        </w:rPr>
        <w:t xml:space="preserve"> промышленные отходы </w:t>
      </w:r>
      <w:r w:rsidRPr="00B923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923B2">
        <w:rPr>
          <w:rFonts w:ascii="Times New Roman" w:hAnsi="Times New Roman" w:cs="Times New Roman"/>
          <w:sz w:val="28"/>
          <w:szCs w:val="28"/>
        </w:rPr>
        <w:t xml:space="preserve"> класса размещаются на полигоне ТБО, который </w:t>
      </w:r>
      <w:r w:rsidRPr="00B923B2">
        <w:rPr>
          <w:rFonts w:ascii="Times New Roman" w:hAnsi="Times New Roman" w:cs="Times New Roman"/>
          <w:sz w:val="28"/>
          <w:szCs w:val="28"/>
        </w:rPr>
        <w:lastRenderedPageBreak/>
        <w:t>расположен на землях Приволжского района Астраханской области в рай</w:t>
      </w:r>
      <w:r w:rsidR="000F26D3">
        <w:rPr>
          <w:rFonts w:ascii="Times New Roman" w:hAnsi="Times New Roman" w:cs="Times New Roman"/>
          <w:sz w:val="28"/>
          <w:szCs w:val="28"/>
        </w:rPr>
        <w:t>оне пос.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3B2">
        <w:rPr>
          <w:rFonts w:ascii="Times New Roman" w:hAnsi="Times New Roman" w:cs="Times New Roman"/>
          <w:sz w:val="28"/>
          <w:szCs w:val="28"/>
        </w:rPr>
        <w:t>Фунтово</w:t>
      </w:r>
      <w:proofErr w:type="spellEnd"/>
      <w:r w:rsidRPr="00B923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7B3" w:rsidRPr="003627B3" w:rsidRDefault="00B923B2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B2">
        <w:rPr>
          <w:rFonts w:ascii="Times New Roman" w:hAnsi="Times New Roman" w:cs="Times New Roman"/>
          <w:sz w:val="28"/>
          <w:szCs w:val="28"/>
        </w:rPr>
        <w:t>Полигон захоронения твердых бытовых отходов в пос.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3B2">
        <w:rPr>
          <w:rFonts w:ascii="Times New Roman" w:hAnsi="Times New Roman" w:cs="Times New Roman"/>
          <w:sz w:val="28"/>
          <w:szCs w:val="28"/>
        </w:rPr>
        <w:t>Фунтово</w:t>
      </w:r>
      <w:proofErr w:type="spellEnd"/>
      <w:r w:rsidRPr="00B923B2">
        <w:rPr>
          <w:rFonts w:ascii="Times New Roman" w:hAnsi="Times New Roman" w:cs="Times New Roman"/>
          <w:sz w:val="28"/>
          <w:szCs w:val="28"/>
        </w:rPr>
        <w:t xml:space="preserve"> был введен в эксплуатацию в 1984 году с планируемым сроком эксплуатации 25 лет, который был продлен в 2009 году на 5 лет. Технология, используемая для захоронения ТБО на старом полигоне</w:t>
      </w:r>
      <w:r w:rsidR="007C20DB">
        <w:rPr>
          <w:rFonts w:ascii="Times New Roman" w:hAnsi="Times New Roman" w:cs="Times New Roman"/>
          <w:sz w:val="28"/>
          <w:szCs w:val="28"/>
        </w:rPr>
        <w:t xml:space="preserve"> – з</w:t>
      </w:r>
      <w:r w:rsidRPr="00B923B2">
        <w:rPr>
          <w:rFonts w:ascii="Times New Roman" w:hAnsi="Times New Roman" w:cs="Times New Roman"/>
          <w:sz w:val="28"/>
          <w:szCs w:val="28"/>
        </w:rPr>
        <w:t>ахоронение методом уплотнения и пересыпки грунтом по выравнивающей высо</w:t>
      </w:r>
      <w:r w:rsidR="009C6F5B">
        <w:rPr>
          <w:rFonts w:ascii="Times New Roman" w:hAnsi="Times New Roman" w:cs="Times New Roman"/>
          <w:sz w:val="28"/>
          <w:szCs w:val="28"/>
        </w:rPr>
        <w:t>тной схеме. В соответствии с Ф</w:t>
      </w:r>
      <w:r w:rsidR="00052CDC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 w:rsidRPr="00B923B2">
        <w:rPr>
          <w:rFonts w:ascii="Times New Roman" w:hAnsi="Times New Roman" w:cs="Times New Roman"/>
          <w:sz w:val="28"/>
          <w:szCs w:val="28"/>
        </w:rPr>
        <w:t xml:space="preserve">«Об </w:t>
      </w:r>
      <w:r w:rsidR="006E3D16">
        <w:rPr>
          <w:rFonts w:ascii="Times New Roman" w:hAnsi="Times New Roman" w:cs="Times New Roman"/>
          <w:sz w:val="28"/>
          <w:szCs w:val="28"/>
        </w:rPr>
        <w:t>отходах производства и потребления</w:t>
      </w:r>
      <w:r w:rsidRPr="00B923B2">
        <w:rPr>
          <w:rFonts w:ascii="Times New Roman" w:hAnsi="Times New Roman" w:cs="Times New Roman"/>
          <w:sz w:val="28"/>
          <w:szCs w:val="28"/>
        </w:rPr>
        <w:t>» и Земельным кодексом Р</w:t>
      </w:r>
      <w:r w:rsidR="00052CD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923B2">
        <w:rPr>
          <w:rFonts w:ascii="Times New Roman" w:hAnsi="Times New Roman" w:cs="Times New Roman"/>
          <w:sz w:val="28"/>
          <w:szCs w:val="28"/>
        </w:rPr>
        <w:t>Ф</w:t>
      </w:r>
      <w:r w:rsidR="00052CDC">
        <w:rPr>
          <w:rFonts w:ascii="Times New Roman" w:hAnsi="Times New Roman" w:cs="Times New Roman"/>
          <w:sz w:val="28"/>
          <w:szCs w:val="28"/>
        </w:rPr>
        <w:t>едерации</w:t>
      </w:r>
      <w:r w:rsidR="007C20DB">
        <w:rPr>
          <w:rFonts w:ascii="Times New Roman" w:hAnsi="Times New Roman" w:cs="Times New Roman"/>
          <w:sz w:val="28"/>
          <w:szCs w:val="28"/>
        </w:rPr>
        <w:t>,</w:t>
      </w:r>
      <w:r w:rsidRPr="00B923B2">
        <w:rPr>
          <w:rFonts w:ascii="Times New Roman" w:hAnsi="Times New Roman" w:cs="Times New Roman"/>
          <w:sz w:val="28"/>
          <w:szCs w:val="28"/>
        </w:rPr>
        <w:t xml:space="preserve"> перед закрытием полигона необходимо провести его рекультивацию. </w:t>
      </w:r>
      <w:r w:rsidR="003627B3" w:rsidRPr="003627B3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субсидий из бюджета Астраханской области муниципальным образованиям Астраханской области на реализацию мероприятий подпрограммы «Ликвидация накопленного экологического ущерба на территории Астраханской области» государственной программы «Охрана окружающей среды Астраханской области»</w:t>
      </w:r>
      <w:r w:rsidR="007C20DB">
        <w:rPr>
          <w:rFonts w:ascii="Times New Roman" w:hAnsi="Times New Roman" w:cs="Times New Roman"/>
          <w:sz w:val="28"/>
          <w:szCs w:val="28"/>
        </w:rPr>
        <w:t>,</w:t>
      </w:r>
      <w:r w:rsidR="003627B3" w:rsidRPr="003627B3">
        <w:rPr>
          <w:rFonts w:ascii="Times New Roman" w:hAnsi="Times New Roman" w:cs="Times New Roman"/>
          <w:sz w:val="28"/>
          <w:szCs w:val="28"/>
        </w:rPr>
        <w:t xml:space="preserve"> одним из условий п</w:t>
      </w:r>
      <w:r w:rsidR="007C20DB">
        <w:rPr>
          <w:rFonts w:ascii="Times New Roman" w:hAnsi="Times New Roman" w:cs="Times New Roman"/>
          <w:sz w:val="28"/>
          <w:szCs w:val="28"/>
        </w:rPr>
        <w:t>редоставления субсидии является</w:t>
      </w:r>
      <w:r w:rsidR="003627B3" w:rsidRPr="003627B3">
        <w:rPr>
          <w:rFonts w:ascii="Times New Roman" w:hAnsi="Times New Roman" w:cs="Times New Roman"/>
          <w:sz w:val="28"/>
          <w:szCs w:val="28"/>
        </w:rPr>
        <w:t>:</w:t>
      </w:r>
    </w:p>
    <w:p w:rsidR="003627B3" w:rsidRPr="003627B3" w:rsidRDefault="003627B3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7B3">
        <w:rPr>
          <w:rFonts w:ascii="Times New Roman" w:hAnsi="Times New Roman" w:cs="Times New Roman"/>
          <w:sz w:val="28"/>
          <w:szCs w:val="28"/>
        </w:rPr>
        <w:t xml:space="preserve"> - «наличие предусмотренных в бюджете муниципального образования бюджетных ассигнований на </w:t>
      </w:r>
      <w:proofErr w:type="spellStart"/>
      <w:r w:rsidRPr="003627B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627B3">
        <w:rPr>
          <w:rFonts w:ascii="Times New Roman" w:hAnsi="Times New Roman" w:cs="Times New Roman"/>
          <w:sz w:val="28"/>
          <w:szCs w:val="28"/>
        </w:rPr>
        <w:t xml:space="preserve"> мероприятий, предусмотренных государственной программой в размере не</w:t>
      </w:r>
      <w:r w:rsidR="007C20DB">
        <w:rPr>
          <w:rFonts w:ascii="Times New Roman" w:hAnsi="Times New Roman" w:cs="Times New Roman"/>
          <w:sz w:val="28"/>
          <w:szCs w:val="28"/>
        </w:rPr>
        <w:t xml:space="preserve"> менее 5</w:t>
      </w:r>
      <w:r w:rsidRPr="003627B3">
        <w:rPr>
          <w:rFonts w:ascii="Times New Roman" w:hAnsi="Times New Roman" w:cs="Times New Roman"/>
          <w:sz w:val="28"/>
          <w:szCs w:val="28"/>
        </w:rPr>
        <w:t>% от суммы затрат по данным мероприятиям»</w:t>
      </w:r>
      <w:r w:rsidR="007C20DB">
        <w:rPr>
          <w:rFonts w:ascii="Times New Roman" w:hAnsi="Times New Roman" w:cs="Times New Roman"/>
          <w:sz w:val="28"/>
          <w:szCs w:val="28"/>
        </w:rPr>
        <w:t>.</w:t>
      </w:r>
    </w:p>
    <w:p w:rsidR="003627B3" w:rsidRPr="003627B3" w:rsidRDefault="003627B3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7B3">
        <w:rPr>
          <w:rFonts w:ascii="Times New Roman" w:hAnsi="Times New Roman" w:cs="Times New Roman"/>
          <w:sz w:val="28"/>
          <w:szCs w:val="28"/>
        </w:rPr>
        <w:t>В соответствии с Законом Астраханской области от 28.12.2015 №99/2015-ОЗ «О бюджете Астраханской области»</w:t>
      </w:r>
      <w:r w:rsidR="007C20DB">
        <w:rPr>
          <w:rFonts w:ascii="Times New Roman" w:hAnsi="Times New Roman" w:cs="Times New Roman"/>
          <w:sz w:val="28"/>
          <w:szCs w:val="28"/>
        </w:rPr>
        <w:t>,</w:t>
      </w:r>
      <w:r w:rsidRPr="003627B3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предусмотрено 1 246 160,0 руб. </w:t>
      </w:r>
    </w:p>
    <w:p w:rsidR="00B923B2" w:rsidRPr="00B923B2" w:rsidRDefault="003627B3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7B3">
        <w:rPr>
          <w:rFonts w:ascii="Times New Roman" w:hAnsi="Times New Roman" w:cs="Times New Roman"/>
          <w:sz w:val="28"/>
          <w:szCs w:val="28"/>
        </w:rPr>
        <w:t>Учитывая сроки реализации работ по рекульти</w:t>
      </w:r>
      <w:r w:rsidR="0010393D">
        <w:rPr>
          <w:rFonts w:ascii="Times New Roman" w:hAnsi="Times New Roman" w:cs="Times New Roman"/>
          <w:sz w:val="28"/>
          <w:szCs w:val="28"/>
        </w:rPr>
        <w:t>вации – в среднем 2-3 месяца, и то,</w:t>
      </w:r>
      <w:r w:rsidRPr="003627B3">
        <w:rPr>
          <w:rFonts w:ascii="Times New Roman" w:hAnsi="Times New Roman" w:cs="Times New Roman"/>
          <w:sz w:val="28"/>
          <w:szCs w:val="28"/>
        </w:rPr>
        <w:t xml:space="preserve"> что до настоящего времени соглашение на реализацию данного мероприятия в администрацию муниципального образовани</w:t>
      </w:r>
      <w:r w:rsidR="0010393D">
        <w:rPr>
          <w:rFonts w:ascii="Times New Roman" w:hAnsi="Times New Roman" w:cs="Times New Roman"/>
          <w:sz w:val="28"/>
          <w:szCs w:val="28"/>
        </w:rPr>
        <w:t>я «Город Астрахань» не поступало</w:t>
      </w:r>
      <w:r w:rsidRPr="003627B3">
        <w:rPr>
          <w:rFonts w:ascii="Times New Roman" w:hAnsi="Times New Roman" w:cs="Times New Roman"/>
          <w:sz w:val="28"/>
          <w:szCs w:val="28"/>
        </w:rPr>
        <w:t>, освоить данные лимиты бюджетных ассигнований не представляется возможным.</w:t>
      </w:r>
    </w:p>
    <w:p w:rsidR="003627B3" w:rsidRPr="003627B3" w:rsidRDefault="00B923B2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B2">
        <w:rPr>
          <w:rFonts w:ascii="Times New Roman" w:hAnsi="Times New Roman" w:cs="Times New Roman"/>
          <w:sz w:val="28"/>
          <w:szCs w:val="28"/>
        </w:rPr>
        <w:t xml:space="preserve">Так же требуется провести рекультивацию </w:t>
      </w:r>
      <w:r w:rsidR="00272AB6">
        <w:rPr>
          <w:rFonts w:ascii="Times New Roman" w:hAnsi="Times New Roman" w:cs="Times New Roman"/>
          <w:sz w:val="28"/>
          <w:szCs w:val="28"/>
        </w:rPr>
        <w:t>земель,</w:t>
      </w:r>
      <w:r w:rsidRPr="00B923B2">
        <w:rPr>
          <w:rFonts w:ascii="Times New Roman" w:hAnsi="Times New Roman" w:cs="Times New Roman"/>
          <w:sz w:val="28"/>
          <w:szCs w:val="28"/>
        </w:rPr>
        <w:t xml:space="preserve"> прилегающих к домам №8а, 10б по ул. </w:t>
      </w:r>
      <w:proofErr w:type="spellStart"/>
      <w:r w:rsidRPr="00B923B2"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 w:rsidRPr="00B923B2">
        <w:rPr>
          <w:rFonts w:ascii="Times New Roman" w:hAnsi="Times New Roman" w:cs="Times New Roman"/>
          <w:sz w:val="28"/>
          <w:szCs w:val="28"/>
        </w:rPr>
        <w:t>, дому №33 по ул. Красноармейская в связи с угрозой здоровью населения города в результате сбросов нефтесодержащих отходов производства (битума) на территории бывшего битумного завода и высоким загрязнением указанных земель.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 w:rsidR="003627B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627B3" w:rsidRPr="003627B3">
        <w:rPr>
          <w:rFonts w:ascii="Times New Roman" w:hAnsi="Times New Roman" w:cs="Times New Roman"/>
          <w:sz w:val="28"/>
          <w:szCs w:val="28"/>
        </w:rPr>
        <w:t xml:space="preserve">выявлением </w:t>
      </w:r>
      <w:r w:rsidR="008C040D" w:rsidRPr="003627B3">
        <w:rPr>
          <w:rFonts w:ascii="Times New Roman" w:hAnsi="Times New Roman" w:cs="Times New Roman"/>
          <w:sz w:val="28"/>
          <w:szCs w:val="28"/>
        </w:rPr>
        <w:t>дополнительной территории,</w:t>
      </w:r>
      <w:r w:rsidR="003627B3" w:rsidRPr="003627B3">
        <w:rPr>
          <w:rFonts w:ascii="Times New Roman" w:hAnsi="Times New Roman" w:cs="Times New Roman"/>
          <w:sz w:val="28"/>
          <w:szCs w:val="28"/>
        </w:rPr>
        <w:t xml:space="preserve"> загрязненной нефтепродуктами между домами №33 и №37 по ул.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 w:rsidR="008C040D" w:rsidRPr="003627B3">
        <w:rPr>
          <w:rFonts w:ascii="Times New Roman" w:hAnsi="Times New Roman" w:cs="Times New Roman"/>
          <w:sz w:val="28"/>
          <w:szCs w:val="28"/>
        </w:rPr>
        <w:t>Красноармейская,</w:t>
      </w:r>
      <w:r w:rsidR="003627B3" w:rsidRPr="003627B3">
        <w:rPr>
          <w:rFonts w:ascii="Times New Roman" w:hAnsi="Times New Roman" w:cs="Times New Roman"/>
          <w:sz w:val="28"/>
          <w:szCs w:val="28"/>
        </w:rPr>
        <w:t xml:space="preserve"> потребуется корре</w:t>
      </w:r>
      <w:r w:rsidR="0010393D">
        <w:rPr>
          <w:rFonts w:ascii="Times New Roman" w:hAnsi="Times New Roman" w:cs="Times New Roman"/>
          <w:sz w:val="28"/>
          <w:szCs w:val="28"/>
        </w:rPr>
        <w:t>ктировка проектной документации. К</w:t>
      </w:r>
      <w:r w:rsidR="003627B3" w:rsidRPr="003627B3">
        <w:rPr>
          <w:rFonts w:ascii="Times New Roman" w:hAnsi="Times New Roman" w:cs="Times New Roman"/>
          <w:sz w:val="28"/>
          <w:szCs w:val="28"/>
        </w:rPr>
        <w:t>роме того</w:t>
      </w:r>
      <w:r w:rsidR="0010393D">
        <w:rPr>
          <w:rFonts w:ascii="Times New Roman" w:hAnsi="Times New Roman" w:cs="Times New Roman"/>
          <w:sz w:val="28"/>
          <w:szCs w:val="28"/>
        </w:rPr>
        <w:t>,</w:t>
      </w:r>
      <w:r w:rsidR="003627B3" w:rsidRPr="003627B3">
        <w:rPr>
          <w:rFonts w:ascii="Times New Roman" w:hAnsi="Times New Roman" w:cs="Times New Roman"/>
          <w:sz w:val="28"/>
          <w:szCs w:val="28"/>
        </w:rPr>
        <w:t xml:space="preserve"> необходимо выполнить инженерно-геодезические, инженерно-геологические и инженерно-экологические изыскания на дополнительную площадь загрязнения. </w:t>
      </w:r>
    </w:p>
    <w:p w:rsidR="003627B3" w:rsidRPr="003627B3" w:rsidRDefault="003627B3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7B3">
        <w:rPr>
          <w:rFonts w:ascii="Times New Roman" w:hAnsi="Times New Roman" w:cs="Times New Roman"/>
          <w:sz w:val="28"/>
          <w:szCs w:val="28"/>
        </w:rPr>
        <w:t xml:space="preserve">Учитывая изложенное, работы по проведению третьего этапа рекультивации земель, прилегающих к домам №8а,10б по ул. </w:t>
      </w:r>
      <w:proofErr w:type="spellStart"/>
      <w:r w:rsidRPr="003627B3"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 w:rsidRPr="003627B3">
        <w:rPr>
          <w:rFonts w:ascii="Times New Roman" w:hAnsi="Times New Roman" w:cs="Times New Roman"/>
          <w:sz w:val="28"/>
          <w:szCs w:val="28"/>
        </w:rPr>
        <w:t xml:space="preserve">, к </w:t>
      </w:r>
      <w:r w:rsidRPr="003627B3">
        <w:rPr>
          <w:rFonts w:ascii="Times New Roman" w:hAnsi="Times New Roman" w:cs="Times New Roman"/>
          <w:sz w:val="28"/>
          <w:szCs w:val="28"/>
        </w:rPr>
        <w:lastRenderedPageBreak/>
        <w:t>дому №33 по ул. Красноармейская г. А</w:t>
      </w:r>
      <w:r w:rsidR="0010393D">
        <w:rPr>
          <w:rFonts w:ascii="Times New Roman" w:hAnsi="Times New Roman" w:cs="Times New Roman"/>
          <w:sz w:val="28"/>
          <w:szCs w:val="28"/>
        </w:rPr>
        <w:t>страхани временно приостановлены</w:t>
      </w:r>
      <w:r w:rsidRPr="003627B3">
        <w:rPr>
          <w:rFonts w:ascii="Times New Roman" w:hAnsi="Times New Roman" w:cs="Times New Roman"/>
          <w:sz w:val="28"/>
          <w:szCs w:val="28"/>
        </w:rPr>
        <w:t xml:space="preserve"> на период уточнения стоимости работ.</w:t>
      </w:r>
    </w:p>
    <w:p w:rsidR="00B923B2" w:rsidRDefault="003627B3" w:rsidP="00362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7B3">
        <w:rPr>
          <w:rFonts w:ascii="Times New Roman" w:hAnsi="Times New Roman" w:cs="Times New Roman"/>
          <w:sz w:val="28"/>
          <w:szCs w:val="28"/>
        </w:rPr>
        <w:t xml:space="preserve">В настоящее время подготовлены документы на проведение электронного аукциона на проведение работ по корректировке проектной документации по объекту «Рекультивация земель, прилегающих к домам №8а,10б по ул. </w:t>
      </w:r>
      <w:proofErr w:type="spellStart"/>
      <w:r w:rsidRPr="003627B3"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 w:rsidRPr="003627B3">
        <w:rPr>
          <w:rFonts w:ascii="Times New Roman" w:hAnsi="Times New Roman" w:cs="Times New Roman"/>
          <w:sz w:val="28"/>
          <w:szCs w:val="28"/>
        </w:rPr>
        <w:t>, к дому №33 по ул. Красноармейская г. Астрахани».</w:t>
      </w:r>
    </w:p>
    <w:p w:rsidR="00B923B2" w:rsidRPr="00B923B2" w:rsidRDefault="00E57BE8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ведомственной целевой программы муниципального образования «Город Астрахань»</w:t>
      </w:r>
      <w:r w:rsidR="00C230BB">
        <w:rPr>
          <w:rFonts w:ascii="Times New Roman" w:hAnsi="Times New Roman" w:cs="Times New Roman"/>
          <w:sz w:val="28"/>
          <w:szCs w:val="28"/>
        </w:rPr>
        <w:t xml:space="preserve"> «Охрана окружающей среды на 2014-2015 годы» были частично реализованы мероприятия по рекультивации пол</w:t>
      </w:r>
      <w:r w:rsidR="00DD5E19">
        <w:rPr>
          <w:rFonts w:ascii="Times New Roman" w:hAnsi="Times New Roman" w:cs="Times New Roman"/>
          <w:sz w:val="28"/>
          <w:szCs w:val="28"/>
        </w:rPr>
        <w:t xml:space="preserve">игона ТБО (пос. </w:t>
      </w:r>
      <w:proofErr w:type="spellStart"/>
      <w:r w:rsidR="00DD5E19">
        <w:rPr>
          <w:rFonts w:ascii="Times New Roman" w:hAnsi="Times New Roman" w:cs="Times New Roman"/>
          <w:sz w:val="28"/>
          <w:szCs w:val="28"/>
        </w:rPr>
        <w:t>Фунтово</w:t>
      </w:r>
      <w:proofErr w:type="spellEnd"/>
      <w:r w:rsidR="00DD5E19">
        <w:rPr>
          <w:rFonts w:ascii="Times New Roman" w:hAnsi="Times New Roman" w:cs="Times New Roman"/>
          <w:sz w:val="28"/>
          <w:szCs w:val="28"/>
        </w:rPr>
        <w:t>) - 4 га.</w:t>
      </w:r>
      <w:r w:rsidR="00C230BB">
        <w:rPr>
          <w:rFonts w:ascii="Times New Roman" w:hAnsi="Times New Roman" w:cs="Times New Roman"/>
          <w:sz w:val="28"/>
          <w:szCs w:val="28"/>
        </w:rPr>
        <w:t xml:space="preserve"> В связи с недостаточным финансированием и большим объемом работ</w:t>
      </w:r>
      <w:r w:rsidR="007C20DB">
        <w:rPr>
          <w:rFonts w:ascii="Times New Roman" w:hAnsi="Times New Roman" w:cs="Times New Roman"/>
          <w:sz w:val="28"/>
          <w:szCs w:val="28"/>
        </w:rPr>
        <w:t>,</w:t>
      </w:r>
      <w:r w:rsidR="00C230BB">
        <w:rPr>
          <w:rFonts w:ascii="Times New Roman" w:hAnsi="Times New Roman" w:cs="Times New Roman"/>
          <w:sz w:val="28"/>
          <w:szCs w:val="28"/>
        </w:rPr>
        <w:t xml:space="preserve"> мероприятия не были реализованы в полном объеме и возникла необходимость в реализации мероприятий в 2016-201</w:t>
      </w:r>
      <w:r w:rsidR="00B95351">
        <w:rPr>
          <w:rFonts w:ascii="Times New Roman" w:hAnsi="Times New Roman" w:cs="Times New Roman"/>
          <w:sz w:val="28"/>
          <w:szCs w:val="28"/>
        </w:rPr>
        <w:t>9</w:t>
      </w:r>
      <w:r w:rsidR="00C230BB">
        <w:rPr>
          <w:rFonts w:ascii="Times New Roman" w:hAnsi="Times New Roman" w:cs="Times New Roman"/>
          <w:sz w:val="28"/>
          <w:szCs w:val="28"/>
        </w:rPr>
        <w:t xml:space="preserve"> годах.  </w:t>
      </w:r>
    </w:p>
    <w:p w:rsidR="00673012" w:rsidRPr="00673012" w:rsidRDefault="00B923B2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3B2">
        <w:rPr>
          <w:rFonts w:ascii="Times New Roman" w:hAnsi="Times New Roman" w:cs="Times New Roman"/>
          <w:bCs/>
          <w:sz w:val="28"/>
          <w:szCs w:val="28"/>
        </w:rPr>
        <w:t>Подавляющее большинство очистных сооружений канализации</w:t>
      </w:r>
      <w:r w:rsidR="0021799E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Pr="00B923B2">
        <w:rPr>
          <w:rFonts w:ascii="Times New Roman" w:hAnsi="Times New Roman" w:cs="Times New Roman"/>
          <w:bCs/>
          <w:sz w:val="28"/>
          <w:szCs w:val="28"/>
        </w:rPr>
        <w:t xml:space="preserve"> устарели и не отвечают современным требованиям экологической безопасности, вследствие чего в водные объекты сбрасываются неочищенные до нормативных требований сточные воды, что влечет за собой необходимость модернизации очистных сооружений и ведение аналитического контроля за качеством сбросных вод и состоянием водных объектов города.</w:t>
      </w:r>
      <w:r w:rsidR="00673012">
        <w:rPr>
          <w:rFonts w:ascii="Times New Roman" w:hAnsi="Times New Roman" w:cs="Times New Roman"/>
          <w:bCs/>
          <w:sz w:val="28"/>
          <w:szCs w:val="28"/>
        </w:rPr>
        <w:t xml:space="preserve"> В рамках ведомственной целевой программы</w:t>
      </w:r>
      <w:r w:rsidR="0021799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Астрахань»</w:t>
      </w:r>
      <w:r w:rsidR="00673012">
        <w:rPr>
          <w:rFonts w:ascii="Times New Roman" w:hAnsi="Times New Roman" w:cs="Times New Roman"/>
          <w:bCs/>
          <w:sz w:val="28"/>
          <w:szCs w:val="28"/>
        </w:rPr>
        <w:t xml:space="preserve"> «Охрана окружающей среды</w:t>
      </w:r>
      <w:r w:rsidR="0021799E">
        <w:rPr>
          <w:rFonts w:ascii="Times New Roman" w:hAnsi="Times New Roman" w:cs="Times New Roman"/>
          <w:bCs/>
          <w:sz w:val="28"/>
          <w:szCs w:val="28"/>
        </w:rPr>
        <w:t xml:space="preserve"> на 2014-2015 год»</w:t>
      </w:r>
      <w:r w:rsidR="007C33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0DB">
        <w:rPr>
          <w:rFonts w:ascii="Times New Roman" w:hAnsi="Times New Roman" w:cs="Times New Roman"/>
          <w:bCs/>
          <w:sz w:val="28"/>
          <w:szCs w:val="28"/>
        </w:rPr>
        <w:t>мероприятие</w:t>
      </w:r>
      <w:r w:rsidR="00673012" w:rsidRPr="00673012">
        <w:rPr>
          <w:rFonts w:ascii="Times New Roman" w:hAnsi="Times New Roman" w:cs="Times New Roman"/>
          <w:bCs/>
          <w:sz w:val="28"/>
          <w:szCs w:val="28"/>
        </w:rPr>
        <w:t xml:space="preserve"> по ведению аналитического контроля за качеством сбросных вод и состоянием водны</w:t>
      </w:r>
      <w:r w:rsidR="007C20DB">
        <w:rPr>
          <w:rFonts w:ascii="Times New Roman" w:hAnsi="Times New Roman" w:cs="Times New Roman"/>
          <w:bCs/>
          <w:sz w:val="28"/>
          <w:szCs w:val="28"/>
        </w:rPr>
        <w:t xml:space="preserve">х объектов города Астрахани было </w:t>
      </w:r>
      <w:r w:rsidR="008C040D">
        <w:rPr>
          <w:rFonts w:ascii="Times New Roman" w:hAnsi="Times New Roman" w:cs="Times New Roman"/>
          <w:bCs/>
          <w:sz w:val="28"/>
          <w:szCs w:val="28"/>
        </w:rPr>
        <w:t xml:space="preserve">реализовано </w:t>
      </w:r>
      <w:r w:rsidR="008C040D" w:rsidRPr="00673012">
        <w:rPr>
          <w:rFonts w:ascii="Times New Roman" w:hAnsi="Times New Roman" w:cs="Times New Roman"/>
          <w:bCs/>
          <w:sz w:val="28"/>
          <w:szCs w:val="28"/>
        </w:rPr>
        <w:t>в</w:t>
      </w:r>
      <w:r w:rsidR="00673012" w:rsidRPr="00673012">
        <w:rPr>
          <w:rFonts w:ascii="Times New Roman" w:hAnsi="Times New Roman" w:cs="Times New Roman"/>
          <w:bCs/>
          <w:sz w:val="28"/>
          <w:szCs w:val="28"/>
        </w:rPr>
        <w:t xml:space="preserve"> полном объеме. В соответствии с законодательством РФ</w:t>
      </w:r>
      <w:r w:rsidR="007C20DB">
        <w:rPr>
          <w:rFonts w:ascii="Times New Roman" w:hAnsi="Times New Roman" w:cs="Times New Roman"/>
          <w:bCs/>
          <w:sz w:val="28"/>
          <w:szCs w:val="28"/>
        </w:rPr>
        <w:t>,</w:t>
      </w:r>
      <w:r w:rsidR="00673012" w:rsidRPr="00673012">
        <w:rPr>
          <w:rFonts w:ascii="Times New Roman" w:hAnsi="Times New Roman" w:cs="Times New Roman"/>
          <w:bCs/>
          <w:sz w:val="28"/>
          <w:szCs w:val="28"/>
        </w:rPr>
        <w:t xml:space="preserve"> аналитический контроль осуществляется постоянно, таким образом</w:t>
      </w:r>
      <w:r w:rsidR="007C20DB">
        <w:rPr>
          <w:rFonts w:ascii="Times New Roman" w:hAnsi="Times New Roman" w:cs="Times New Roman"/>
          <w:bCs/>
          <w:sz w:val="28"/>
          <w:szCs w:val="28"/>
        </w:rPr>
        <w:t>,</w:t>
      </w:r>
      <w:r w:rsidR="00673012" w:rsidRPr="00673012">
        <w:rPr>
          <w:rFonts w:ascii="Times New Roman" w:hAnsi="Times New Roman" w:cs="Times New Roman"/>
          <w:bCs/>
          <w:sz w:val="28"/>
          <w:szCs w:val="28"/>
        </w:rPr>
        <w:t xml:space="preserve"> данное мероприятие необходимо включить в </w:t>
      </w:r>
      <w:r w:rsidR="001036B2">
        <w:rPr>
          <w:rFonts w:ascii="Times New Roman" w:hAnsi="Times New Roman" w:cs="Times New Roman"/>
          <w:bCs/>
          <w:sz w:val="28"/>
          <w:szCs w:val="28"/>
        </w:rPr>
        <w:t>П</w:t>
      </w:r>
      <w:r w:rsidR="00673012" w:rsidRPr="00673012">
        <w:rPr>
          <w:rFonts w:ascii="Times New Roman" w:hAnsi="Times New Roman" w:cs="Times New Roman"/>
          <w:bCs/>
          <w:sz w:val="28"/>
          <w:szCs w:val="28"/>
        </w:rPr>
        <w:t>рограмму.</w:t>
      </w:r>
    </w:p>
    <w:p w:rsidR="00DD5E19" w:rsidRPr="00B923B2" w:rsidRDefault="0021799E" w:rsidP="00DD5E1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99E">
        <w:rPr>
          <w:rFonts w:ascii="Times New Roman" w:hAnsi="Times New Roman" w:cs="Times New Roman"/>
          <w:bCs/>
          <w:sz w:val="28"/>
          <w:szCs w:val="28"/>
        </w:rPr>
        <w:t>Муниципальная программа предусматривает комплексное решение вопросов, связанных с реабилитацией объектов эко</w:t>
      </w:r>
      <w:r w:rsidR="00052CDC">
        <w:rPr>
          <w:rFonts w:ascii="Times New Roman" w:hAnsi="Times New Roman" w:cs="Times New Roman"/>
          <w:bCs/>
          <w:sz w:val="28"/>
          <w:szCs w:val="28"/>
        </w:rPr>
        <w:t>логического ущерба</w:t>
      </w:r>
      <w:r w:rsidRPr="0021799E">
        <w:rPr>
          <w:rFonts w:ascii="Times New Roman" w:hAnsi="Times New Roman" w:cs="Times New Roman"/>
          <w:bCs/>
          <w:sz w:val="28"/>
          <w:szCs w:val="28"/>
        </w:rPr>
        <w:t>, предотвращением дальнейшего накопления отходов производства, в том числе с реализацией мер и внедрением механизмов, способствующих оздоровлению микроклимата территорий, подверженных негативному воздействию отходов, с предупреждением негативного воздействия объектов прошлой хозяйственной деятельности.</w:t>
      </w:r>
    </w:p>
    <w:p w:rsidR="00DD5E19" w:rsidRDefault="00E57BE8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Программно-целевой метод</w:t>
      </w:r>
      <w:r w:rsidR="00B923B2" w:rsidRPr="00B923B2">
        <w:rPr>
          <w:rFonts w:ascii="Times New Roman" w:hAnsi="Times New Roman" w:cs="Times New Roman"/>
          <w:bCs/>
          <w:sz w:val="28"/>
          <w:szCs w:val="28"/>
        </w:rPr>
        <w:t xml:space="preserve"> позволит объединить в единую систему отдельные мероприятия и добиться максимального социально-экономического эффекта, выраженного в гарантированном обеспечении потребностей экономики в экологически чистых земельных и водных ресурсах, сокращении уровня негативного воздействия на окружающую среду, снижении заболеваемости и увеличении продолжительности жизни населения, сбалансированном развитии территорий и отраслей региональной </w:t>
      </w:r>
      <w:r w:rsidR="00B923B2" w:rsidRPr="00B923B2">
        <w:rPr>
          <w:rFonts w:ascii="Times New Roman" w:hAnsi="Times New Roman" w:cs="Times New Roman"/>
          <w:bCs/>
          <w:sz w:val="28"/>
          <w:szCs w:val="28"/>
        </w:rPr>
        <w:lastRenderedPageBreak/>
        <w:t>экономики, повышении защищенности населения и территорий от негативного воздействия объектов экологического ущерба, формировании и</w:t>
      </w:r>
    </w:p>
    <w:p w:rsidR="007A2583" w:rsidRPr="00C65B6F" w:rsidRDefault="00B923B2" w:rsidP="00DD5E1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3B2">
        <w:rPr>
          <w:rFonts w:ascii="Times New Roman" w:hAnsi="Times New Roman" w:cs="Times New Roman"/>
          <w:bCs/>
          <w:sz w:val="28"/>
          <w:szCs w:val="28"/>
        </w:rPr>
        <w:t>проведении единой государственной политики в области использования и охраны окружающей среды и создании условий для развития экономики города Астрахани.</w:t>
      </w:r>
    </w:p>
    <w:p w:rsidR="007A2583" w:rsidRDefault="007A2583" w:rsidP="004D5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3CF" w:rsidRDefault="004D5A1A" w:rsidP="004D5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123CF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индикаторы и показатели муниципальной </w:t>
      </w:r>
      <w:r w:rsidR="007E405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13023" w:rsidRDefault="0061302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3B2" w:rsidRDefault="00613023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23"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является </w:t>
      </w:r>
      <w:r w:rsidR="007E4053">
        <w:rPr>
          <w:rFonts w:ascii="Times New Roman" w:hAnsi="Times New Roman" w:cs="Times New Roman"/>
          <w:sz w:val="28"/>
          <w:szCs w:val="28"/>
        </w:rPr>
        <w:t>у</w:t>
      </w:r>
      <w:r w:rsidR="00B923B2" w:rsidRPr="00B923B2">
        <w:rPr>
          <w:rFonts w:ascii="Times New Roman" w:hAnsi="Times New Roman" w:cs="Times New Roman"/>
          <w:sz w:val="28"/>
          <w:szCs w:val="28"/>
        </w:rPr>
        <w:t>лучшение экологической обстановки на территории города Астрахани</w:t>
      </w:r>
      <w:r w:rsidR="00B923B2">
        <w:rPr>
          <w:rFonts w:ascii="Times New Roman" w:hAnsi="Times New Roman" w:cs="Times New Roman"/>
          <w:sz w:val="28"/>
          <w:szCs w:val="28"/>
        </w:rPr>
        <w:t>.</w:t>
      </w:r>
    </w:p>
    <w:p w:rsidR="00A8052F" w:rsidRDefault="0014750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="007E4053">
        <w:rPr>
          <w:rFonts w:ascii="Times New Roman" w:hAnsi="Times New Roman" w:cs="Times New Roman"/>
          <w:sz w:val="28"/>
          <w:szCs w:val="28"/>
        </w:rPr>
        <w:t>ами</w:t>
      </w:r>
      <w:r w:rsidR="00F438A3">
        <w:rPr>
          <w:rFonts w:ascii="Times New Roman" w:hAnsi="Times New Roman" w:cs="Times New Roman"/>
          <w:sz w:val="28"/>
          <w:szCs w:val="28"/>
        </w:rPr>
        <w:t xml:space="preserve"> </w:t>
      </w:r>
      <w:r w:rsidR="002179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явля</w:t>
      </w:r>
      <w:r w:rsidR="007E405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1D2C17">
        <w:rPr>
          <w:rFonts w:ascii="Times New Roman" w:hAnsi="Times New Roman" w:cs="Times New Roman"/>
          <w:sz w:val="28"/>
          <w:szCs w:val="28"/>
        </w:rPr>
        <w:t>:</w:t>
      </w:r>
    </w:p>
    <w:p w:rsidR="00B923B2" w:rsidRPr="00B923B2" w:rsidRDefault="00A8052F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4053">
        <w:rPr>
          <w:rFonts w:ascii="Times New Roman" w:hAnsi="Times New Roman" w:cs="Times New Roman"/>
          <w:sz w:val="28"/>
          <w:szCs w:val="28"/>
        </w:rPr>
        <w:t>п</w:t>
      </w:r>
      <w:r w:rsidR="00B923B2" w:rsidRPr="00B923B2">
        <w:rPr>
          <w:rFonts w:ascii="Times New Roman" w:hAnsi="Times New Roman" w:cs="Times New Roman"/>
          <w:sz w:val="28"/>
          <w:szCs w:val="28"/>
        </w:rPr>
        <w:t xml:space="preserve">оддержание </w:t>
      </w:r>
      <w:r w:rsidR="00210182" w:rsidRPr="00B923B2">
        <w:rPr>
          <w:rFonts w:ascii="Times New Roman" w:hAnsi="Times New Roman" w:cs="Times New Roman"/>
          <w:sz w:val="28"/>
          <w:szCs w:val="28"/>
        </w:rPr>
        <w:t>качественного состояния</w:t>
      </w:r>
      <w:r w:rsidR="00B923B2" w:rsidRPr="00B923B2">
        <w:rPr>
          <w:rFonts w:ascii="Times New Roman" w:hAnsi="Times New Roman" w:cs="Times New Roman"/>
          <w:sz w:val="28"/>
          <w:szCs w:val="28"/>
        </w:rPr>
        <w:t xml:space="preserve"> внутригородских водоемов;</w:t>
      </w:r>
    </w:p>
    <w:p w:rsidR="00F50D57" w:rsidRDefault="00B923B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3B2">
        <w:rPr>
          <w:rFonts w:ascii="Times New Roman" w:hAnsi="Times New Roman" w:cs="Times New Roman"/>
          <w:sz w:val="28"/>
          <w:szCs w:val="28"/>
        </w:rPr>
        <w:t xml:space="preserve">- </w:t>
      </w:r>
      <w:r w:rsidR="007E4053">
        <w:rPr>
          <w:rFonts w:ascii="Times New Roman" w:hAnsi="Times New Roman" w:cs="Times New Roman"/>
          <w:sz w:val="28"/>
          <w:szCs w:val="28"/>
        </w:rPr>
        <w:t>о</w:t>
      </w:r>
      <w:r w:rsidRPr="00B923B2">
        <w:rPr>
          <w:rFonts w:ascii="Times New Roman" w:hAnsi="Times New Roman" w:cs="Times New Roman"/>
          <w:sz w:val="28"/>
          <w:szCs w:val="28"/>
        </w:rPr>
        <w:t>беспечение охраны земельных ресурсов (во</w:t>
      </w:r>
      <w:r w:rsidR="00076CE6">
        <w:rPr>
          <w:rFonts w:ascii="Times New Roman" w:hAnsi="Times New Roman" w:cs="Times New Roman"/>
          <w:sz w:val="28"/>
          <w:szCs w:val="28"/>
        </w:rPr>
        <w:t>сстановление нарушенных земель);</w:t>
      </w:r>
    </w:p>
    <w:p w:rsidR="00076CE6" w:rsidRDefault="00076CE6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76CE6">
        <w:rPr>
          <w:rFonts w:ascii="Times New Roman" w:hAnsi="Times New Roman" w:cs="Times New Roman"/>
          <w:sz w:val="28"/>
          <w:szCs w:val="28"/>
        </w:rPr>
        <w:t>оддержание санитарного состояния на территории контейнерных площадок</w:t>
      </w:r>
      <w:r w:rsidR="00DD2198">
        <w:rPr>
          <w:rFonts w:ascii="Times New Roman" w:hAnsi="Times New Roman" w:cs="Times New Roman"/>
          <w:sz w:val="28"/>
          <w:szCs w:val="28"/>
        </w:rPr>
        <w:t>;</w:t>
      </w:r>
    </w:p>
    <w:p w:rsidR="00DD2198" w:rsidRDefault="00DD2198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права собственности на объекты инженерной защиты г. Астрахани.</w:t>
      </w:r>
    </w:p>
    <w:p w:rsidR="0021799E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(индикаторы) Программы:</w:t>
      </w:r>
    </w:p>
    <w:p w:rsidR="0021799E" w:rsidRPr="0021799E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926">
        <w:rPr>
          <w:rFonts w:ascii="Times New Roman" w:hAnsi="Times New Roman" w:cs="Times New Roman"/>
          <w:sz w:val="28"/>
          <w:szCs w:val="28"/>
        </w:rPr>
        <w:t xml:space="preserve"> д</w:t>
      </w:r>
      <w:r w:rsidR="00EF5926" w:rsidRPr="00EF5926">
        <w:rPr>
          <w:rFonts w:ascii="Times New Roman" w:hAnsi="Times New Roman" w:cs="Times New Roman"/>
          <w:sz w:val="28"/>
          <w:szCs w:val="28"/>
        </w:rPr>
        <w:t xml:space="preserve">оля территории, на которой улучшилась экологическая обстановка от общей </w:t>
      </w:r>
      <w:r w:rsidR="008C040D" w:rsidRPr="00EF5926">
        <w:rPr>
          <w:rFonts w:ascii="Times New Roman" w:hAnsi="Times New Roman" w:cs="Times New Roman"/>
          <w:sz w:val="28"/>
          <w:szCs w:val="28"/>
        </w:rPr>
        <w:t>площади экологически</w:t>
      </w:r>
      <w:r w:rsidR="00EF5926" w:rsidRPr="00EF5926">
        <w:rPr>
          <w:rFonts w:ascii="Times New Roman" w:hAnsi="Times New Roman" w:cs="Times New Roman"/>
          <w:sz w:val="28"/>
          <w:szCs w:val="28"/>
        </w:rPr>
        <w:t xml:space="preserve"> загрязненной территории</w:t>
      </w:r>
      <w:r w:rsidRPr="0021799E">
        <w:rPr>
          <w:rFonts w:ascii="Times New Roman" w:hAnsi="Times New Roman" w:cs="Times New Roman"/>
          <w:sz w:val="28"/>
          <w:szCs w:val="28"/>
        </w:rPr>
        <w:t>;</w:t>
      </w:r>
    </w:p>
    <w:p w:rsidR="0021799E" w:rsidRPr="0021799E" w:rsidRDefault="00315343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1799E" w:rsidRPr="0021799E">
        <w:rPr>
          <w:rFonts w:ascii="Times New Roman" w:hAnsi="Times New Roman" w:cs="Times New Roman"/>
          <w:sz w:val="28"/>
          <w:szCs w:val="28"/>
        </w:rPr>
        <w:t>оля ликвидированных нарушений, выявленных при контроле качества внутригородских водоемов;</w:t>
      </w:r>
    </w:p>
    <w:p w:rsidR="0021799E" w:rsidRDefault="00315343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1799E" w:rsidRPr="0021799E">
        <w:rPr>
          <w:rFonts w:ascii="Times New Roman" w:hAnsi="Times New Roman" w:cs="Times New Roman"/>
          <w:sz w:val="28"/>
          <w:szCs w:val="28"/>
        </w:rPr>
        <w:t xml:space="preserve">оля </w:t>
      </w:r>
      <w:proofErr w:type="spellStart"/>
      <w:r w:rsidR="0021799E" w:rsidRPr="0021799E">
        <w:rPr>
          <w:rFonts w:ascii="Times New Roman" w:hAnsi="Times New Roman" w:cs="Times New Roman"/>
          <w:sz w:val="28"/>
          <w:szCs w:val="28"/>
        </w:rPr>
        <w:t>рекультивируемых</w:t>
      </w:r>
      <w:proofErr w:type="spellEnd"/>
      <w:r w:rsidR="0021799E" w:rsidRPr="0021799E">
        <w:rPr>
          <w:rFonts w:ascii="Times New Roman" w:hAnsi="Times New Roman" w:cs="Times New Roman"/>
          <w:sz w:val="28"/>
          <w:szCs w:val="28"/>
        </w:rPr>
        <w:t xml:space="preserve"> земель от общего количества земель</w:t>
      </w:r>
      <w:r w:rsidR="00076CE6">
        <w:rPr>
          <w:rFonts w:ascii="Times New Roman" w:hAnsi="Times New Roman" w:cs="Times New Roman"/>
          <w:sz w:val="28"/>
          <w:szCs w:val="28"/>
        </w:rPr>
        <w:t>, подлежащих рекультивации;</w:t>
      </w:r>
    </w:p>
    <w:p w:rsidR="00076CE6" w:rsidRDefault="00076CE6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D2198">
        <w:rPr>
          <w:rFonts w:ascii="Times New Roman" w:hAnsi="Times New Roman" w:cs="Times New Roman"/>
          <w:sz w:val="28"/>
          <w:szCs w:val="28"/>
        </w:rPr>
        <w:t>оличество контейнерных площадок;</w:t>
      </w:r>
    </w:p>
    <w:p w:rsidR="00DD2198" w:rsidRPr="00C65B6F" w:rsidRDefault="00DD2198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выполнения Задачи.</w:t>
      </w:r>
    </w:p>
    <w:p w:rsidR="00A8052F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перечень показателей (инд</w:t>
      </w:r>
      <w:r w:rsidR="00210182">
        <w:rPr>
          <w:rFonts w:ascii="Times New Roman" w:hAnsi="Times New Roman" w:cs="Times New Roman"/>
          <w:sz w:val="28"/>
          <w:szCs w:val="28"/>
        </w:rPr>
        <w:t>икаторов) Программы и их значен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8052F">
        <w:rPr>
          <w:rFonts w:ascii="Times New Roman" w:hAnsi="Times New Roman" w:cs="Times New Roman"/>
          <w:sz w:val="28"/>
          <w:szCs w:val="28"/>
        </w:rPr>
        <w:t xml:space="preserve"> приводятся в приложении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2CDC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</w:t>
      </w:r>
      <w:r w:rsidR="00A8052F">
        <w:rPr>
          <w:rFonts w:ascii="Times New Roman" w:hAnsi="Times New Roman" w:cs="Times New Roman"/>
          <w:sz w:val="28"/>
          <w:szCs w:val="28"/>
        </w:rPr>
        <w:t>.</w:t>
      </w:r>
    </w:p>
    <w:p w:rsidR="00A123CF" w:rsidRPr="00AA6F71" w:rsidRDefault="00A123CF" w:rsidP="00AA6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3CF" w:rsidRDefault="004D5A1A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123CF">
        <w:rPr>
          <w:rFonts w:ascii="Times New Roman" w:hAnsi="Times New Roman" w:cs="Times New Roman"/>
          <w:b/>
          <w:sz w:val="28"/>
          <w:szCs w:val="28"/>
        </w:rPr>
        <w:t>Сроки (этапы) реа</w:t>
      </w:r>
      <w:r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:rsidR="00BC3CDC" w:rsidRDefault="00BC3CDC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CDC" w:rsidRDefault="00BC3CDC" w:rsidP="00272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CDC">
        <w:rPr>
          <w:rFonts w:ascii="Times New Roman" w:hAnsi="Times New Roman" w:cs="Times New Roman"/>
          <w:sz w:val="28"/>
          <w:szCs w:val="28"/>
        </w:rPr>
        <w:t>Программа должна быть реализована в течение 2016-20</w:t>
      </w:r>
      <w:r w:rsidR="00DD2198">
        <w:rPr>
          <w:rFonts w:ascii="Times New Roman" w:hAnsi="Times New Roman" w:cs="Times New Roman"/>
          <w:sz w:val="28"/>
          <w:szCs w:val="28"/>
        </w:rPr>
        <w:t>20</w:t>
      </w:r>
      <w:r w:rsidR="007605C3">
        <w:rPr>
          <w:rFonts w:ascii="Times New Roman" w:hAnsi="Times New Roman" w:cs="Times New Roman"/>
          <w:sz w:val="28"/>
          <w:szCs w:val="28"/>
        </w:rPr>
        <w:t xml:space="preserve"> год</w:t>
      </w:r>
      <w:r w:rsidR="007E4053">
        <w:rPr>
          <w:rFonts w:ascii="Times New Roman" w:hAnsi="Times New Roman" w:cs="Times New Roman"/>
          <w:sz w:val="28"/>
          <w:szCs w:val="28"/>
        </w:rPr>
        <w:t>ов</w:t>
      </w:r>
      <w:r w:rsidR="007605C3">
        <w:rPr>
          <w:rFonts w:ascii="Times New Roman" w:hAnsi="Times New Roman" w:cs="Times New Roman"/>
          <w:sz w:val="28"/>
          <w:szCs w:val="28"/>
        </w:rPr>
        <w:t>.</w:t>
      </w:r>
    </w:p>
    <w:p w:rsidR="00A123CF" w:rsidRDefault="00A123CF" w:rsidP="00156E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23CF" w:rsidRDefault="004D5A1A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123CF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  <w:r w:rsidR="00CE4932">
        <w:rPr>
          <w:rFonts w:ascii="Times New Roman" w:hAnsi="Times New Roman" w:cs="Times New Roman"/>
          <w:b/>
          <w:sz w:val="28"/>
          <w:szCs w:val="28"/>
        </w:rPr>
        <w:t>,</w:t>
      </w:r>
      <w:r w:rsidR="00DD2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CF">
        <w:rPr>
          <w:rFonts w:ascii="Times New Roman" w:hAnsi="Times New Roman" w:cs="Times New Roman"/>
          <w:b/>
          <w:sz w:val="28"/>
          <w:szCs w:val="28"/>
        </w:rPr>
        <w:t>вхо</w:t>
      </w:r>
      <w:r>
        <w:rPr>
          <w:rFonts w:ascii="Times New Roman" w:hAnsi="Times New Roman" w:cs="Times New Roman"/>
          <w:b/>
          <w:sz w:val="28"/>
          <w:szCs w:val="28"/>
        </w:rPr>
        <w:t>дящих в муниципальную программу</w:t>
      </w:r>
    </w:p>
    <w:p w:rsidR="00E7470C" w:rsidRDefault="00E7470C" w:rsidP="00E74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50E" w:rsidRPr="007605C3" w:rsidRDefault="009B4546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муниципальной программы </w:t>
      </w:r>
      <w:r w:rsidR="009C6F5B">
        <w:rPr>
          <w:rFonts w:ascii="Times New Roman" w:hAnsi="Times New Roman" w:cs="Times New Roman"/>
          <w:sz w:val="28"/>
          <w:szCs w:val="28"/>
        </w:rPr>
        <w:t>направлены на</w:t>
      </w:r>
      <w:r>
        <w:rPr>
          <w:rFonts w:ascii="Times New Roman" w:hAnsi="Times New Roman" w:cs="Times New Roman"/>
          <w:sz w:val="28"/>
          <w:szCs w:val="28"/>
        </w:rPr>
        <w:t xml:space="preserve"> сохранение благоприятной окружающей среды, и обеспечение экологической безопасности населения города Астрахани.</w:t>
      </w:r>
    </w:p>
    <w:p w:rsidR="00D8711D" w:rsidRPr="00D8711D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п</w:t>
      </w:r>
      <w:r w:rsidR="00D8711D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C6F5B">
        <w:rPr>
          <w:rFonts w:ascii="Times New Roman" w:hAnsi="Times New Roman" w:cs="Times New Roman"/>
          <w:sz w:val="28"/>
          <w:szCs w:val="28"/>
        </w:rPr>
        <w:t>мероприятий муниципальной</w:t>
      </w:r>
      <w:r w:rsidR="00C41A0B">
        <w:rPr>
          <w:rFonts w:ascii="Times New Roman" w:hAnsi="Times New Roman" w:cs="Times New Roman"/>
          <w:sz w:val="28"/>
          <w:szCs w:val="28"/>
        </w:rPr>
        <w:t xml:space="preserve"> программы представлен в п</w:t>
      </w:r>
      <w:r w:rsidR="000F26D3">
        <w:rPr>
          <w:rFonts w:ascii="Times New Roman" w:hAnsi="Times New Roman" w:cs="Times New Roman"/>
          <w:sz w:val="28"/>
          <w:szCs w:val="28"/>
        </w:rPr>
        <w:t>риложении</w:t>
      </w:r>
      <w:r w:rsidR="0053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2CDC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</w:t>
      </w:r>
      <w:r w:rsidR="00C41A0B">
        <w:rPr>
          <w:rFonts w:ascii="Times New Roman" w:hAnsi="Times New Roman" w:cs="Times New Roman"/>
          <w:sz w:val="28"/>
          <w:szCs w:val="28"/>
        </w:rPr>
        <w:t>о</w:t>
      </w:r>
      <w:r w:rsidR="00052CDC">
        <w:rPr>
          <w:rFonts w:ascii="Times New Roman" w:hAnsi="Times New Roman" w:cs="Times New Roman"/>
          <w:sz w:val="28"/>
          <w:szCs w:val="28"/>
        </w:rPr>
        <w:t>грамме</w:t>
      </w:r>
      <w:r w:rsidR="00D8711D">
        <w:rPr>
          <w:rFonts w:ascii="Times New Roman" w:hAnsi="Times New Roman" w:cs="Times New Roman"/>
          <w:sz w:val="28"/>
          <w:szCs w:val="28"/>
        </w:rPr>
        <w:t>.</w:t>
      </w:r>
    </w:p>
    <w:p w:rsidR="007A2583" w:rsidRPr="00B923B2" w:rsidRDefault="007A2583" w:rsidP="00B923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360" w:rsidRDefault="007605C3" w:rsidP="007605C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A7360">
        <w:rPr>
          <w:rFonts w:ascii="Times New Roman" w:hAnsi="Times New Roman" w:cs="Times New Roman"/>
          <w:b/>
          <w:sz w:val="28"/>
          <w:szCs w:val="28"/>
        </w:rPr>
        <w:t>Ресурсное обес</w:t>
      </w:r>
      <w:r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FA7360" w:rsidRDefault="00FA7360" w:rsidP="0076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7D2" w:rsidRDefault="001767D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мероприятий муниципальной программы планируется осуществлять за счет средств бюджета муниципального образования «Город Астрахань» и субсидий из бюджета Астраханской области.</w:t>
      </w:r>
    </w:p>
    <w:p w:rsidR="001767D2" w:rsidRDefault="001767D2" w:rsidP="00176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</w:t>
      </w:r>
      <w:r w:rsidR="00E942C6">
        <w:rPr>
          <w:rFonts w:ascii="Times New Roman" w:hAnsi="Times New Roman" w:cs="Times New Roman"/>
          <w:sz w:val="28"/>
          <w:szCs w:val="28"/>
        </w:rPr>
        <w:t xml:space="preserve">ипальной программы составляет </w:t>
      </w:r>
      <w:r w:rsidR="00DD2198">
        <w:rPr>
          <w:rFonts w:ascii="Times New Roman" w:hAnsi="Times New Roman" w:cs="Times New Roman"/>
          <w:sz w:val="28"/>
          <w:szCs w:val="28"/>
        </w:rPr>
        <w:t>73 995 870,00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B943D3" w:rsidRPr="00B943D3" w:rsidRDefault="001767D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муниципального образования «Город Астрахань»</w:t>
      </w:r>
      <w:r w:rsidR="00DD2198">
        <w:rPr>
          <w:rFonts w:ascii="Times New Roman" w:hAnsi="Times New Roman" w:cs="Times New Roman"/>
          <w:sz w:val="28"/>
          <w:szCs w:val="28"/>
        </w:rPr>
        <w:t xml:space="preserve"> </w:t>
      </w:r>
      <w:r w:rsidR="000662BB">
        <w:rPr>
          <w:rFonts w:ascii="Times New Roman" w:hAnsi="Times New Roman" w:cs="Times New Roman"/>
          <w:sz w:val="28"/>
          <w:szCs w:val="28"/>
        </w:rPr>
        <w:t>составляет</w:t>
      </w:r>
      <w:r w:rsidR="00DD2198">
        <w:rPr>
          <w:rFonts w:ascii="Times New Roman" w:hAnsi="Times New Roman" w:cs="Times New Roman"/>
          <w:sz w:val="28"/>
          <w:szCs w:val="28"/>
        </w:rPr>
        <w:t xml:space="preserve"> </w:t>
      </w:r>
      <w:r w:rsidR="00DD2198" w:rsidRPr="00DD2198">
        <w:rPr>
          <w:rFonts w:ascii="Times New Roman" w:hAnsi="Times New Roman" w:cs="Times New Roman"/>
          <w:sz w:val="28"/>
          <w:szCs w:val="28"/>
        </w:rPr>
        <w:t>73 995 870,00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556C83">
        <w:rPr>
          <w:rFonts w:ascii="Times New Roman" w:hAnsi="Times New Roman" w:cs="Times New Roman"/>
          <w:sz w:val="28"/>
          <w:szCs w:val="28"/>
        </w:rPr>
        <w:t>, в том числе по годам реализации:</w:t>
      </w:r>
    </w:p>
    <w:p w:rsidR="00B943D3" w:rsidRPr="00B943D3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3D3" w:rsidRPr="00B943D3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1B7929">
        <w:rPr>
          <w:rFonts w:ascii="Times New Roman" w:hAnsi="Times New Roman" w:cs="Times New Roman"/>
          <w:sz w:val="28"/>
          <w:szCs w:val="28"/>
        </w:rPr>
        <w:t>–</w:t>
      </w:r>
      <w:r w:rsidR="00E01BAE">
        <w:rPr>
          <w:rFonts w:ascii="Times New Roman" w:hAnsi="Times New Roman" w:cs="Times New Roman"/>
          <w:sz w:val="28"/>
          <w:szCs w:val="28"/>
        </w:rPr>
        <w:t>55141496</w:t>
      </w:r>
      <w:r w:rsidR="00073145">
        <w:rPr>
          <w:rFonts w:ascii="Times New Roman" w:hAnsi="Times New Roman" w:cs="Times New Roman"/>
          <w:sz w:val="28"/>
          <w:szCs w:val="28"/>
        </w:rPr>
        <w:t>,</w:t>
      </w:r>
      <w:r w:rsidR="00E01BAE">
        <w:rPr>
          <w:rFonts w:ascii="Times New Roman" w:hAnsi="Times New Roman" w:cs="Times New Roman"/>
          <w:sz w:val="28"/>
          <w:szCs w:val="28"/>
        </w:rPr>
        <w:t>7</w:t>
      </w:r>
      <w:r w:rsidR="00073145">
        <w:rPr>
          <w:rFonts w:ascii="Times New Roman" w:hAnsi="Times New Roman" w:cs="Times New Roman"/>
          <w:sz w:val="28"/>
          <w:szCs w:val="28"/>
        </w:rPr>
        <w:t>2</w:t>
      </w:r>
      <w:r w:rsidR="00B943D3" w:rsidRPr="00B943D3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B943D3" w:rsidRPr="00B943D3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3D3" w:rsidRPr="00B943D3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DD2198">
        <w:rPr>
          <w:rFonts w:ascii="Times New Roman" w:hAnsi="Times New Roman" w:cs="Times New Roman"/>
          <w:sz w:val="28"/>
          <w:szCs w:val="28"/>
        </w:rPr>
        <w:t>3 918 693,28</w:t>
      </w:r>
      <w:r w:rsidR="00B943D3" w:rsidRPr="00B943D3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975DB2" w:rsidRDefault="0021799E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3D3" w:rsidRPr="00B943D3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DD2198">
        <w:rPr>
          <w:rFonts w:ascii="Times New Roman" w:hAnsi="Times New Roman" w:cs="Times New Roman"/>
          <w:sz w:val="28"/>
          <w:szCs w:val="28"/>
        </w:rPr>
        <w:t>4 978 560</w:t>
      </w:r>
      <w:r w:rsidR="00B943D3" w:rsidRPr="00B943D3">
        <w:rPr>
          <w:rFonts w:ascii="Times New Roman" w:hAnsi="Times New Roman" w:cs="Times New Roman"/>
          <w:sz w:val="28"/>
          <w:szCs w:val="28"/>
        </w:rPr>
        <w:t>,00 руб.</w:t>
      </w:r>
      <w:r w:rsidR="00E76994">
        <w:rPr>
          <w:rFonts w:ascii="Times New Roman" w:hAnsi="Times New Roman" w:cs="Times New Roman"/>
          <w:sz w:val="28"/>
          <w:szCs w:val="28"/>
        </w:rPr>
        <w:t>;</w:t>
      </w:r>
    </w:p>
    <w:p w:rsidR="00975DB2" w:rsidRDefault="00975DB2" w:rsidP="00975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B2">
        <w:rPr>
          <w:rFonts w:ascii="Times New Roman" w:hAnsi="Times New Roman" w:cs="Times New Roman"/>
          <w:sz w:val="28"/>
          <w:szCs w:val="28"/>
        </w:rPr>
        <w:t>- 201</w:t>
      </w:r>
      <w:r w:rsidR="00873748">
        <w:rPr>
          <w:rFonts w:ascii="Times New Roman" w:hAnsi="Times New Roman" w:cs="Times New Roman"/>
          <w:sz w:val="28"/>
          <w:szCs w:val="28"/>
        </w:rPr>
        <w:t>9</w:t>
      </w:r>
      <w:r w:rsidRPr="00975DB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D2198" w:rsidRPr="00DD2198">
        <w:rPr>
          <w:rFonts w:ascii="Times New Roman" w:hAnsi="Times New Roman" w:cs="Times New Roman"/>
          <w:sz w:val="28"/>
          <w:szCs w:val="28"/>
        </w:rPr>
        <w:t>4 978 560</w:t>
      </w:r>
      <w:r w:rsidRPr="00975DB2">
        <w:rPr>
          <w:rFonts w:ascii="Times New Roman" w:hAnsi="Times New Roman" w:cs="Times New Roman"/>
          <w:sz w:val="28"/>
          <w:szCs w:val="28"/>
        </w:rPr>
        <w:t>,00 руб.</w:t>
      </w:r>
      <w:r w:rsidR="00DD2198">
        <w:rPr>
          <w:rFonts w:ascii="Times New Roman" w:hAnsi="Times New Roman" w:cs="Times New Roman"/>
          <w:sz w:val="28"/>
          <w:szCs w:val="28"/>
        </w:rPr>
        <w:t>;</w:t>
      </w:r>
    </w:p>
    <w:p w:rsidR="00DD2198" w:rsidRPr="00975DB2" w:rsidRDefault="00DD2198" w:rsidP="00975D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- 2020 год- </w:t>
      </w:r>
      <w:r w:rsidRPr="00DD2198">
        <w:rPr>
          <w:rFonts w:ascii="Times New Roman" w:hAnsi="Times New Roman" w:cs="Times New Roman"/>
          <w:sz w:val="28"/>
          <w:szCs w:val="28"/>
        </w:rPr>
        <w:t>4 978 560</w:t>
      </w:r>
    </w:p>
    <w:p w:rsidR="001767D2" w:rsidRDefault="001767D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Астраханской области составляет </w:t>
      </w:r>
      <w:r w:rsidR="00873748">
        <w:rPr>
          <w:rFonts w:ascii="Times New Roman" w:hAnsi="Times New Roman" w:cs="Times New Roman"/>
          <w:sz w:val="28"/>
          <w:szCs w:val="28"/>
        </w:rPr>
        <w:t>1</w:t>
      </w:r>
      <w:r w:rsidR="00E76994">
        <w:rPr>
          <w:rFonts w:ascii="Times New Roman" w:hAnsi="Times New Roman" w:cs="Times New Roman"/>
          <w:sz w:val="28"/>
          <w:szCs w:val="28"/>
        </w:rPr>
        <w:t> </w:t>
      </w:r>
      <w:r w:rsidR="00873748">
        <w:rPr>
          <w:rFonts w:ascii="Times New Roman" w:hAnsi="Times New Roman" w:cs="Times New Roman"/>
          <w:sz w:val="28"/>
          <w:szCs w:val="28"/>
        </w:rPr>
        <w:t>246160</w:t>
      </w:r>
      <w:r>
        <w:rPr>
          <w:rFonts w:ascii="Times New Roman" w:hAnsi="Times New Roman" w:cs="Times New Roman"/>
          <w:sz w:val="28"/>
          <w:szCs w:val="28"/>
        </w:rPr>
        <w:t>,00 руб., в том числе по годам:</w:t>
      </w:r>
    </w:p>
    <w:p w:rsidR="001767D2" w:rsidRDefault="002E3221" w:rsidP="00176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- 2016 год</w:t>
      </w:r>
      <w:r w:rsidR="00E76994">
        <w:rPr>
          <w:rFonts w:ascii="Times New Roman" w:hAnsi="Times New Roman" w:cs="Times New Roman"/>
          <w:sz w:val="28"/>
          <w:szCs w:val="28"/>
        </w:rPr>
        <w:t xml:space="preserve"> –1 </w:t>
      </w:r>
      <w:r>
        <w:rPr>
          <w:rFonts w:ascii="Times New Roman" w:hAnsi="Times New Roman" w:cs="Times New Roman"/>
          <w:sz w:val="28"/>
          <w:szCs w:val="28"/>
        </w:rPr>
        <w:t>246</w:t>
      </w:r>
      <w:r w:rsidR="00E76994">
        <w:rPr>
          <w:rFonts w:ascii="Times New Roman" w:hAnsi="Times New Roman" w:cs="Times New Roman"/>
          <w:sz w:val="28"/>
          <w:szCs w:val="28"/>
        </w:rPr>
        <w:t xml:space="preserve"> 160,00 руб.;</w:t>
      </w:r>
    </w:p>
    <w:p w:rsidR="001767D2" w:rsidRDefault="002E3221" w:rsidP="00176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- 2017 год</w:t>
      </w:r>
      <w:r w:rsidR="00E76994">
        <w:rPr>
          <w:rFonts w:ascii="Times New Roman" w:hAnsi="Times New Roman" w:cs="Times New Roman"/>
          <w:sz w:val="28"/>
          <w:szCs w:val="28"/>
        </w:rPr>
        <w:t xml:space="preserve"> –0,00 руб.;</w:t>
      </w:r>
    </w:p>
    <w:p w:rsidR="001767D2" w:rsidRDefault="002E3221" w:rsidP="00176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- 2018 год –</w:t>
      </w:r>
      <w:r w:rsidR="001767D2">
        <w:rPr>
          <w:rFonts w:ascii="Times New Roman" w:hAnsi="Times New Roman" w:cs="Times New Roman"/>
          <w:sz w:val="28"/>
          <w:szCs w:val="28"/>
        </w:rPr>
        <w:t>0,00 руб.</w:t>
      </w:r>
      <w:r w:rsidR="00E76994">
        <w:rPr>
          <w:rFonts w:ascii="Times New Roman" w:hAnsi="Times New Roman" w:cs="Times New Roman"/>
          <w:sz w:val="28"/>
          <w:szCs w:val="28"/>
        </w:rPr>
        <w:t>;</w:t>
      </w:r>
    </w:p>
    <w:p w:rsidR="00873748" w:rsidRDefault="00873748" w:rsidP="00176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год – 0,00 руб.</w:t>
      </w:r>
      <w:r w:rsidR="00DD2198">
        <w:rPr>
          <w:rFonts w:ascii="Times New Roman" w:hAnsi="Times New Roman" w:cs="Times New Roman"/>
          <w:sz w:val="28"/>
          <w:szCs w:val="28"/>
        </w:rPr>
        <w:t>;</w:t>
      </w:r>
    </w:p>
    <w:p w:rsidR="00DD2198" w:rsidRDefault="00DD2198" w:rsidP="00176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- 2020 год -0,00 руб.</w:t>
      </w:r>
    </w:p>
    <w:p w:rsidR="007605C3" w:rsidRDefault="007605C3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за счет средств бюджета муниципального образования «Город Астрахань» подлежат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E6058D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E6058D">
        <w:rPr>
          <w:rFonts w:ascii="Times New Roman" w:hAnsi="Times New Roman" w:cs="Times New Roman"/>
          <w:sz w:val="28"/>
          <w:szCs w:val="28"/>
        </w:rPr>
        <w:t xml:space="preserve"> по мероприятиям Программы представлено в Приложении 2</w:t>
      </w:r>
      <w:r w:rsidR="00052CDC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</w:t>
      </w:r>
      <w:r w:rsidR="00E6058D">
        <w:rPr>
          <w:rFonts w:ascii="Times New Roman" w:hAnsi="Times New Roman" w:cs="Times New Roman"/>
          <w:sz w:val="28"/>
          <w:szCs w:val="28"/>
        </w:rPr>
        <w:t>.</w:t>
      </w:r>
    </w:p>
    <w:p w:rsidR="00FA7360" w:rsidRPr="007605C3" w:rsidRDefault="00FA7360" w:rsidP="00760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360" w:rsidRDefault="007605C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A7360">
        <w:rPr>
          <w:rFonts w:ascii="Times New Roman" w:hAnsi="Times New Roman" w:cs="Times New Roman"/>
          <w:b/>
          <w:sz w:val="28"/>
          <w:szCs w:val="28"/>
        </w:rPr>
        <w:t>Механизм реа</w:t>
      </w:r>
      <w:r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:rsidR="00933570" w:rsidRDefault="00933570" w:rsidP="00933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коммунальному хозяйству и благоустройству администрации </w:t>
      </w:r>
      <w:r w:rsidR="00835EB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2AB6">
        <w:rPr>
          <w:rFonts w:ascii="Times New Roman" w:hAnsi="Times New Roman" w:cs="Times New Roman"/>
          <w:sz w:val="28"/>
          <w:szCs w:val="28"/>
        </w:rPr>
        <w:t xml:space="preserve"> «Город Астрахань»</w:t>
      </w:r>
      <w:r w:rsidRPr="00F30012">
        <w:rPr>
          <w:rFonts w:ascii="Times New Roman" w:hAnsi="Times New Roman" w:cs="Times New Roman"/>
          <w:sz w:val="28"/>
          <w:szCs w:val="28"/>
        </w:rPr>
        <w:t xml:space="preserve"> определяет механизм реализации муниципальной программы, который направлен на эффективное планирование хода исполнения ее</w:t>
      </w:r>
      <w:r w:rsidR="00052CD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F30012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r w:rsidRPr="00F30012">
        <w:rPr>
          <w:rFonts w:ascii="Times New Roman" w:hAnsi="Times New Roman" w:cs="Times New Roman"/>
          <w:sz w:val="28"/>
          <w:szCs w:val="28"/>
        </w:rPr>
        <w:lastRenderedPageBreak/>
        <w:t>контроля исполнения программных мероприятий, выработку решений при возникновении отклонений показателей при исполнении мероприятий от запланированных значений, и включает: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разработку проектов нормативных правовых актов</w:t>
      </w:r>
      <w:r w:rsidR="00835EBC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F300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Астрахань», внесение изменений в действующие нормативные правовые акты</w:t>
      </w:r>
      <w:r w:rsidR="00835EBC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F300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Астрахань», необходимые для выполнения муниципальной программы;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уточнение объемов финансирования по программным мероприятиям на очередной финансовый год и на плановый период;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управление муниципальной программой, эффективное использование средств, выделенных на ее реализацию;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достижение запланированных результатов;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их реализации.</w:t>
      </w:r>
    </w:p>
    <w:p w:rsidR="00FA7360" w:rsidRDefault="00FA7360" w:rsidP="00272A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360" w:rsidRDefault="007605C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A7360">
        <w:rPr>
          <w:rFonts w:ascii="Times New Roman" w:hAnsi="Times New Roman" w:cs="Times New Roman"/>
          <w:b/>
          <w:sz w:val="28"/>
          <w:szCs w:val="28"/>
        </w:rPr>
        <w:t xml:space="preserve">Сведения об ответственном исполнителе, соисполнителях муниципальной программы (подпрограммы), организация управления муниципальной программой и </w:t>
      </w:r>
      <w:r>
        <w:rPr>
          <w:rFonts w:ascii="Times New Roman" w:hAnsi="Times New Roman" w:cs="Times New Roman"/>
          <w:b/>
          <w:sz w:val="28"/>
          <w:szCs w:val="28"/>
        </w:rPr>
        <w:t>контроль за ходом её реализации</w:t>
      </w:r>
    </w:p>
    <w:p w:rsidR="00272AB6" w:rsidRDefault="00272AB6" w:rsidP="00272A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управление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коммунальному хозяйству и благоустройству администрации </w:t>
      </w:r>
      <w:r w:rsidR="00835EB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2AB6">
        <w:rPr>
          <w:rFonts w:ascii="Times New Roman" w:hAnsi="Times New Roman" w:cs="Times New Roman"/>
          <w:sz w:val="28"/>
          <w:szCs w:val="28"/>
        </w:rPr>
        <w:t xml:space="preserve"> «Город Астрахань»</w:t>
      </w:r>
      <w:r w:rsidRPr="00F30012">
        <w:rPr>
          <w:rFonts w:ascii="Times New Roman" w:hAnsi="Times New Roman" w:cs="Times New Roman"/>
          <w:sz w:val="28"/>
          <w:szCs w:val="28"/>
        </w:rPr>
        <w:t>.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Ответственный исполнитель осуществляет управление реализацией муниципальной программы, а именно: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осуществляет сбор и систематиз</w:t>
      </w:r>
      <w:r>
        <w:rPr>
          <w:rFonts w:ascii="Times New Roman" w:hAnsi="Times New Roman" w:cs="Times New Roman"/>
          <w:sz w:val="28"/>
          <w:szCs w:val="28"/>
        </w:rPr>
        <w:t>ацию статистической и аналитиче</w:t>
      </w:r>
      <w:r w:rsidRPr="00F30012">
        <w:rPr>
          <w:rFonts w:ascii="Times New Roman" w:hAnsi="Times New Roman" w:cs="Times New Roman"/>
          <w:sz w:val="28"/>
          <w:szCs w:val="28"/>
        </w:rPr>
        <w:t>ской информации о реализации программных мероприятий, ведет учет и осуществляет хранение документов, касающихся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F30012">
        <w:rPr>
          <w:rFonts w:ascii="Times New Roman" w:hAnsi="Times New Roman" w:cs="Times New Roman"/>
          <w:sz w:val="28"/>
          <w:szCs w:val="28"/>
        </w:rPr>
        <w:t>мы;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ежегодно осуществляет оценку достигнутых целей и эффективности реализации муниципальной программы;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- готовит и направляет в управление</w:t>
      </w:r>
      <w:r w:rsidR="00113FE0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Pr="00F3001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отчеты о ходе реализации муниципальной программы по итогам:</w:t>
      </w:r>
    </w:p>
    <w:p w:rsidR="00F30012" w:rsidRPr="00F30012" w:rsidRDefault="007C3315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0E29">
        <w:rPr>
          <w:rFonts w:ascii="Times New Roman" w:hAnsi="Times New Roman" w:cs="Times New Roman"/>
          <w:sz w:val="28"/>
          <w:szCs w:val="28"/>
        </w:rPr>
        <w:t xml:space="preserve">1 квартала, 1 </w:t>
      </w:r>
      <w:r w:rsidR="00F30012" w:rsidRPr="00F30012">
        <w:rPr>
          <w:rFonts w:ascii="Times New Roman" w:hAnsi="Times New Roman" w:cs="Times New Roman"/>
          <w:sz w:val="28"/>
          <w:szCs w:val="28"/>
        </w:rPr>
        <w:t>полугодия</w:t>
      </w:r>
      <w:r w:rsidR="00A60E29">
        <w:rPr>
          <w:rFonts w:ascii="Times New Roman" w:hAnsi="Times New Roman" w:cs="Times New Roman"/>
          <w:sz w:val="28"/>
          <w:szCs w:val="28"/>
        </w:rPr>
        <w:t>, 9 месяцев</w:t>
      </w:r>
      <w:r w:rsidR="00F30012" w:rsidRPr="00F30012">
        <w:rPr>
          <w:rFonts w:ascii="Times New Roman" w:hAnsi="Times New Roman" w:cs="Times New Roman"/>
          <w:sz w:val="28"/>
          <w:szCs w:val="28"/>
        </w:rPr>
        <w:t xml:space="preserve"> – до 15 числа ме</w:t>
      </w:r>
      <w:r w:rsidR="00F30012">
        <w:rPr>
          <w:rFonts w:ascii="Times New Roman" w:hAnsi="Times New Roman" w:cs="Times New Roman"/>
          <w:sz w:val="28"/>
          <w:szCs w:val="28"/>
        </w:rPr>
        <w:t>сяца, следующего за отчетным пе</w:t>
      </w:r>
      <w:r w:rsidR="00F30012" w:rsidRPr="00F30012">
        <w:rPr>
          <w:rFonts w:ascii="Times New Roman" w:hAnsi="Times New Roman" w:cs="Times New Roman"/>
          <w:sz w:val="28"/>
          <w:szCs w:val="28"/>
        </w:rPr>
        <w:t>риодом;</w:t>
      </w:r>
    </w:p>
    <w:p w:rsidR="00F30012" w:rsidRPr="00F30012" w:rsidRDefault="007C3315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0012" w:rsidRPr="00F30012">
        <w:rPr>
          <w:rFonts w:ascii="Times New Roman" w:hAnsi="Times New Roman" w:cs="Times New Roman"/>
          <w:sz w:val="28"/>
          <w:szCs w:val="28"/>
        </w:rPr>
        <w:t>года</w:t>
      </w:r>
      <w:r w:rsidR="00A60E29">
        <w:rPr>
          <w:rFonts w:ascii="Times New Roman" w:hAnsi="Times New Roman" w:cs="Times New Roman"/>
          <w:sz w:val="28"/>
          <w:szCs w:val="28"/>
        </w:rPr>
        <w:t xml:space="preserve"> и по итогам реализации муниципальной программы за весь период ее действия (</w:t>
      </w:r>
      <w:r w:rsidR="008C040D">
        <w:rPr>
          <w:rFonts w:ascii="Times New Roman" w:hAnsi="Times New Roman" w:cs="Times New Roman"/>
          <w:sz w:val="28"/>
          <w:szCs w:val="28"/>
        </w:rPr>
        <w:t xml:space="preserve">итоговый) </w:t>
      </w:r>
      <w:r w:rsidR="008C040D" w:rsidRPr="00F30012">
        <w:rPr>
          <w:rFonts w:ascii="Times New Roman" w:hAnsi="Times New Roman" w:cs="Times New Roman"/>
          <w:sz w:val="28"/>
          <w:szCs w:val="28"/>
        </w:rPr>
        <w:t xml:space="preserve">– </w:t>
      </w:r>
      <w:r w:rsidR="008C040D">
        <w:rPr>
          <w:rFonts w:ascii="Times New Roman" w:hAnsi="Times New Roman" w:cs="Times New Roman"/>
          <w:sz w:val="28"/>
          <w:szCs w:val="28"/>
        </w:rPr>
        <w:t>до</w:t>
      </w:r>
      <w:r w:rsidR="00F30012" w:rsidRPr="00F30012">
        <w:rPr>
          <w:rFonts w:ascii="Times New Roman" w:hAnsi="Times New Roman" w:cs="Times New Roman"/>
          <w:sz w:val="28"/>
          <w:szCs w:val="28"/>
        </w:rPr>
        <w:t xml:space="preserve"> 15 февраля года, следующего за отчетным годом;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lastRenderedPageBreak/>
        <w:t xml:space="preserve">- на основании отчета об оценке </w:t>
      </w:r>
      <w:r>
        <w:rPr>
          <w:rFonts w:ascii="Times New Roman" w:hAnsi="Times New Roman" w:cs="Times New Roman"/>
          <w:sz w:val="28"/>
          <w:szCs w:val="28"/>
        </w:rPr>
        <w:t>эффективности реализации муници</w:t>
      </w:r>
      <w:r w:rsidRPr="00F30012">
        <w:rPr>
          <w:rFonts w:ascii="Times New Roman" w:hAnsi="Times New Roman" w:cs="Times New Roman"/>
          <w:sz w:val="28"/>
          <w:szCs w:val="28"/>
        </w:rPr>
        <w:t>пальной программы представляет в управление</w:t>
      </w:r>
      <w:r w:rsidR="008C040D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Pr="00F3001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перечня.</w:t>
      </w:r>
    </w:p>
    <w:p w:rsidR="00F30012" w:rsidRPr="00F30012" w:rsidRDefault="00F3001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Ответственный исполнитель 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отклонений.</w:t>
      </w:r>
    </w:p>
    <w:p w:rsidR="009C58FF" w:rsidRDefault="00F30012" w:rsidP="009C5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 w:rsidRPr="00F30012">
        <w:rPr>
          <w:rFonts w:ascii="Times New Roman" w:hAnsi="Times New Roman" w:cs="Times New Roman"/>
          <w:sz w:val="28"/>
          <w:szCs w:val="28"/>
        </w:rPr>
        <w:t>при реализации муниципальной прог</w:t>
      </w:r>
      <w:r w:rsidR="009C58FF">
        <w:rPr>
          <w:rFonts w:ascii="Times New Roman" w:hAnsi="Times New Roman" w:cs="Times New Roman"/>
          <w:sz w:val="28"/>
          <w:szCs w:val="28"/>
        </w:rPr>
        <w:t>раммы осуществляет</w:t>
      </w:r>
      <w:r w:rsidR="007C3315">
        <w:rPr>
          <w:rFonts w:ascii="Times New Roman" w:hAnsi="Times New Roman" w:cs="Times New Roman"/>
          <w:sz w:val="28"/>
          <w:szCs w:val="28"/>
        </w:rPr>
        <w:t xml:space="preserve">ся финансово-казначейским </w:t>
      </w:r>
      <w:r w:rsidR="009C58FF">
        <w:rPr>
          <w:rFonts w:ascii="Times New Roman" w:hAnsi="Times New Roman" w:cs="Times New Roman"/>
          <w:sz w:val="28"/>
          <w:szCs w:val="28"/>
        </w:rPr>
        <w:t>управлением</w:t>
      </w:r>
      <w:r w:rsidRPr="00F3001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</w:t>
      </w:r>
      <w:r w:rsidR="00835EBC">
        <w:rPr>
          <w:rFonts w:ascii="Times New Roman" w:hAnsi="Times New Roman" w:cs="Times New Roman"/>
          <w:sz w:val="28"/>
          <w:szCs w:val="28"/>
        </w:rPr>
        <w:t xml:space="preserve"> в части полномочий</w:t>
      </w:r>
      <w:r w:rsidR="00E76994">
        <w:rPr>
          <w:rFonts w:ascii="Times New Roman" w:hAnsi="Times New Roman" w:cs="Times New Roman"/>
          <w:sz w:val="28"/>
          <w:szCs w:val="28"/>
        </w:rPr>
        <w:t>,</w:t>
      </w:r>
      <w:r w:rsidR="00835EBC">
        <w:rPr>
          <w:rFonts w:ascii="Times New Roman" w:hAnsi="Times New Roman" w:cs="Times New Roman"/>
          <w:sz w:val="28"/>
          <w:szCs w:val="28"/>
        </w:rPr>
        <w:t xml:space="preserve"> предоставленных финансовым органам Бюджетным кодексом Р</w:t>
      </w:r>
      <w:r w:rsidR="00052CD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35EBC">
        <w:rPr>
          <w:rFonts w:ascii="Times New Roman" w:hAnsi="Times New Roman" w:cs="Times New Roman"/>
          <w:sz w:val="28"/>
          <w:szCs w:val="28"/>
        </w:rPr>
        <w:t>Ф</w:t>
      </w:r>
      <w:r w:rsidR="00052CDC">
        <w:rPr>
          <w:rFonts w:ascii="Times New Roman" w:hAnsi="Times New Roman" w:cs="Times New Roman"/>
          <w:sz w:val="28"/>
          <w:szCs w:val="28"/>
        </w:rPr>
        <w:t>едерации</w:t>
      </w:r>
      <w:r w:rsidR="00835EBC">
        <w:rPr>
          <w:rFonts w:ascii="Times New Roman" w:hAnsi="Times New Roman" w:cs="Times New Roman"/>
          <w:sz w:val="28"/>
          <w:szCs w:val="28"/>
        </w:rPr>
        <w:t xml:space="preserve"> и </w:t>
      </w:r>
      <w:r w:rsidR="007C3315">
        <w:rPr>
          <w:rFonts w:ascii="Times New Roman" w:hAnsi="Times New Roman" w:cs="Times New Roman"/>
          <w:sz w:val="28"/>
          <w:szCs w:val="28"/>
        </w:rPr>
        <w:t>Федеральным</w:t>
      </w:r>
      <w:r w:rsidR="009C58FF">
        <w:rPr>
          <w:rFonts w:ascii="Times New Roman" w:hAnsi="Times New Roman" w:cs="Times New Roman"/>
          <w:sz w:val="28"/>
          <w:szCs w:val="28"/>
        </w:rPr>
        <w:t xml:space="preserve"> </w:t>
      </w:r>
      <w:r w:rsidR="00835EBC">
        <w:rPr>
          <w:rFonts w:ascii="Times New Roman" w:hAnsi="Times New Roman" w:cs="Times New Roman"/>
          <w:sz w:val="28"/>
          <w:szCs w:val="28"/>
        </w:rPr>
        <w:t>Законом «О контрактной системе</w:t>
      </w:r>
      <w:r w:rsidR="00052CDC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</w:t>
      </w:r>
      <w:r w:rsidR="007C3315">
        <w:rPr>
          <w:rFonts w:ascii="Times New Roman" w:hAnsi="Times New Roman" w:cs="Times New Roman"/>
          <w:sz w:val="28"/>
          <w:szCs w:val="28"/>
        </w:rPr>
        <w:t xml:space="preserve"> </w:t>
      </w:r>
      <w:r w:rsidR="00052CDC">
        <w:rPr>
          <w:rFonts w:ascii="Times New Roman" w:hAnsi="Times New Roman" w:cs="Times New Roman"/>
          <w:sz w:val="28"/>
          <w:szCs w:val="28"/>
        </w:rPr>
        <w:t>государственных и муниципальных нужд</w:t>
      </w:r>
      <w:r w:rsidR="00835EBC">
        <w:rPr>
          <w:rFonts w:ascii="Times New Roman" w:hAnsi="Times New Roman" w:cs="Times New Roman"/>
          <w:sz w:val="28"/>
          <w:szCs w:val="28"/>
        </w:rPr>
        <w:t>»</w:t>
      </w:r>
      <w:r w:rsidR="00E76994">
        <w:rPr>
          <w:rFonts w:ascii="Times New Roman" w:hAnsi="Times New Roman" w:cs="Times New Roman"/>
          <w:sz w:val="28"/>
          <w:szCs w:val="28"/>
        </w:rPr>
        <w:t>. В</w:t>
      </w:r>
      <w:r w:rsidRPr="00F30012">
        <w:rPr>
          <w:rFonts w:ascii="Times New Roman" w:hAnsi="Times New Roman" w:cs="Times New Roman"/>
          <w:sz w:val="28"/>
          <w:szCs w:val="28"/>
        </w:rPr>
        <w:t xml:space="preserve"> случае проведения контрольных проверок – </w:t>
      </w:r>
    </w:p>
    <w:p w:rsidR="00F30012" w:rsidRPr="00F30012" w:rsidRDefault="00F30012" w:rsidP="009C5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012">
        <w:rPr>
          <w:rFonts w:ascii="Times New Roman" w:hAnsi="Times New Roman" w:cs="Times New Roman"/>
          <w:sz w:val="28"/>
          <w:szCs w:val="28"/>
        </w:rPr>
        <w:t>управлением внутреннего муниципального финансового контроля администрации муниципального образования «Город Астрахань».</w:t>
      </w:r>
    </w:p>
    <w:p w:rsidR="009C4CC8" w:rsidRDefault="009C4CC8" w:rsidP="00E71F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7360" w:rsidRDefault="007A258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A7360">
        <w:rPr>
          <w:rFonts w:ascii="Times New Roman" w:hAnsi="Times New Roman" w:cs="Times New Roman"/>
          <w:b/>
          <w:sz w:val="28"/>
          <w:szCs w:val="28"/>
        </w:rPr>
        <w:t>Оценка эффективности реа</w:t>
      </w:r>
      <w:r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:rsidR="00E71FBD" w:rsidRPr="00E71FBD" w:rsidRDefault="00E71FBD" w:rsidP="004D69D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59C" w:rsidRDefault="003658FE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эффективности реализации Программы производится на основе использования целевых индикаторов, которые обеспечат мониторинг динамики</w:t>
      </w:r>
      <w:r w:rsidR="00EE559C">
        <w:rPr>
          <w:rFonts w:ascii="Times New Roman" w:hAnsi="Times New Roman" w:cs="Times New Roman"/>
          <w:bCs/>
          <w:sz w:val="28"/>
          <w:szCs w:val="28"/>
        </w:rPr>
        <w:t xml:space="preserve">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3658FE" w:rsidRDefault="00EE559C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Комплексный показатель эффективности реализации Программы оценивается на основании достижения целевых индикаторов Программы путем сопоставления фактически достигнутых индикаторов с их прогнозными значениями к уровню финансирования Программы.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Критерии оценки эффективности реализации муниципальной программы: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641"/>
      <w:r w:rsidRPr="000662BB">
        <w:rPr>
          <w:rFonts w:ascii="Times New Roman" w:hAnsi="Times New Roman" w:cs="Times New Roman"/>
          <w:bCs/>
          <w:sz w:val="28"/>
          <w:szCs w:val="28"/>
        </w:rPr>
        <w:t>1) уровень освоения финансовых средств на реализацию муниципальной программы;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642"/>
      <w:bookmarkEnd w:id="0"/>
      <w:r w:rsidRPr="000662BB">
        <w:rPr>
          <w:rFonts w:ascii="Times New Roman" w:hAnsi="Times New Roman" w:cs="Times New Roman"/>
          <w:bCs/>
          <w:sz w:val="28"/>
          <w:szCs w:val="28"/>
        </w:rPr>
        <w:t>2) уровень достижения запланированных значений показателей (индикаторов);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sub_606"/>
      <w:bookmarkStart w:id="3" w:name="sub_605"/>
      <w:bookmarkEnd w:id="1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1.Уровень освоения финансовых средств на реализацию мероприятий муниципальной программы определяется отношением фактически </w:t>
      </w:r>
      <w:r w:rsidRPr="000662BB">
        <w:rPr>
          <w:rFonts w:ascii="Times New Roman" w:hAnsi="Times New Roman" w:cs="Times New Roman"/>
          <w:bCs/>
          <w:sz w:val="28"/>
          <w:szCs w:val="28"/>
        </w:rPr>
        <w:lastRenderedPageBreak/>
        <w:t>освоенных финансовых средств по каждому мероприятию в отчетном периоде к его плановому значению по формуле:</w:t>
      </w:r>
    </w:p>
    <w:bookmarkEnd w:id="2"/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020445" cy="488950"/>
            <wp:effectExtent l="0" t="0" r="8255" b="635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01930" cy="233680"/>
            <wp:effectExtent l="0" t="0" r="762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уровень освоения финансовых средств на реализацию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программного мероприятия муниципальной программы (в процентах);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6065" cy="233680"/>
            <wp:effectExtent l="0" t="0" r="635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фактический объем расходов на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ое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программное мероприятие в отчетном периоде;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55270" cy="233680"/>
            <wp:effectExtent l="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плановый объем расходов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программного мероприятия на отчетный период;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i - номер программного мероприятия</w:t>
      </w:r>
      <w:r w:rsidR="007C33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62BB">
        <w:rPr>
          <w:rFonts w:ascii="Times New Roman" w:hAnsi="Times New Roman" w:cs="Times New Roman"/>
          <w:bCs/>
          <w:sz w:val="28"/>
          <w:szCs w:val="28"/>
        </w:rPr>
        <w:t>муниципальной программы.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03605" cy="563245"/>
            <wp:effectExtent l="0" t="0" r="0" b="8255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>,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n - количество программных мероприятий муниципальной программы.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2.Уровень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формуле:</w:t>
      </w:r>
    </w:p>
    <w:bookmarkEnd w:id="3"/>
    <w:p w:rsidR="00B07B07" w:rsidRDefault="00B07B07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77900" cy="488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>,</w:t>
      </w:r>
    </w:p>
    <w:p w:rsid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B07B07" w:rsidRDefault="00B07B07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7B07" w:rsidRPr="000662BB" w:rsidRDefault="00B07B07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0975" cy="23368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уровень достижения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показателя (индикатора) муниципальной программы в процентах;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4475" cy="2336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фактическое значение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3368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 xml:space="preserve"> - плановое значение i-</w:t>
      </w:r>
      <w:proofErr w:type="spellStart"/>
      <w:r w:rsidRPr="000662BB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0662BB">
        <w:rPr>
          <w:rFonts w:ascii="Times New Roman" w:hAnsi="Times New Roman" w:cs="Times New Roman"/>
          <w:bCs/>
          <w:sz w:val="28"/>
          <w:szCs w:val="28"/>
        </w:rPr>
        <w:t xml:space="preserve"> показателя (индикатора), утвержденное в муниципальной программе на отчетный период;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i - номер показателя (индикатора) муниципальной программы.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lastRenderedPageBreak/>
        <w:t>Эффективность реализации муниципальной программы в целом по уровню достижения значений показателей (индикаторов) определяется по формуле: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893445" cy="563245"/>
            <wp:effectExtent l="0" t="0" r="190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BB">
        <w:rPr>
          <w:rFonts w:ascii="Times New Roman" w:hAnsi="Times New Roman" w:cs="Times New Roman"/>
          <w:bCs/>
          <w:sz w:val="28"/>
          <w:szCs w:val="28"/>
        </w:rPr>
        <w:t>,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n - количество показателей (индикаторов) муниципальной программы.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sub_607"/>
      <w:r w:rsidRPr="000662BB">
        <w:rPr>
          <w:rFonts w:ascii="Times New Roman" w:hAnsi="Times New Roman" w:cs="Times New Roman"/>
          <w:bCs/>
          <w:sz w:val="28"/>
          <w:szCs w:val="28"/>
        </w:rPr>
        <w:t>3. Общая эффективность реализации муниципальной программы в целом рассчитывается по формуле:</w:t>
      </w:r>
    </w:p>
    <w:bookmarkEnd w:id="4"/>
    <w:p w:rsidR="000662BB" w:rsidRPr="000662BB" w:rsidRDefault="001D55CC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group id="Полотно 27" o:spid="_x0000_s1026" editas="canvas" style="width:80.25pt;height:46.85pt;mso-position-horizontal-relative:char;mso-position-vertical-relative:line" coordsize="10191,59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191;height:5949;visibility:visible;mso-wrap-style:square">
              <v:fill o:detectmouseclick="t"/>
              <v:path o:connecttype="none"/>
            </v:shape>
            <v:rect id="Rectangle 4" o:spid="_x0000_s1028" style="position:absolute;width:10191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<v:rect id="Rectangle 5" o:spid="_x0000_s1029" style="position:absolute;left:190;top:1714;width:1010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6" o:spid="_x0000_s1030" style="position:absolute;left:1238;top:2476;width:124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5807ED" w:rsidRDefault="005807ED" w:rsidP="000662BB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Пр</w:t>
                    </w:r>
                    <w:proofErr w:type="spellEnd"/>
                  </w:p>
                </w:txbxContent>
              </v:textbox>
            </v:rect>
            <v:rect id="Rectangle 7" o:spid="_x0000_s1031" style="position:absolute;left:2762;top:1714;width:86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8" o:spid="_x0000_s1032" style="position:absolute;left:4191;top:381;width:1009;height:3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9" o:spid="_x0000_s1033" style="position:absolute;left:5238;top:1143;width:807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5807ED" w:rsidRPr="003D4BB6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Ф</w:t>
                    </w:r>
                  </w:p>
                </w:txbxContent>
              </v:textbox>
            </v:rect>
            <v:rect id="Rectangle 10" o:spid="_x0000_s1034" style="position:absolute;left:6191;top:381;width:863;height:3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11" o:spid="_x0000_s1035" style="position:absolute;left:7239;top:381;width:1009;height:3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Э</w:t>
                    </w:r>
                  </w:p>
                </w:txbxContent>
              </v:textbox>
            </v:rect>
            <v:rect id="Rectangle 12" o:spid="_x0000_s1036" style="position:absolute;left:8286;top:1143;width:737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5807ED" w:rsidRPr="003D4BB6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13" o:spid="_x0000_s1037" style="position:absolute;left:6191;top:2667;width:768;height:3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<v:textbox style="mso-fit-shape-to-text:t" inset="0,0,0,0">
                <w:txbxContent>
                  <w:p w:rsidR="005807ED" w:rsidRDefault="005807ED" w:rsidP="000662BB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4" o:spid="_x0000_s1038" style="position:absolute;left:4095;top:2571;width:504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fBrwA&#10;AADbAAAADwAAAGRycy9kb3ducmV2LnhtbESPywrCMBBF94L/EEZwp2ldiFTTUgTRrQ9cD83YFptJ&#10;bWKtf28EweXlPg53kw2mET11rrasIJ5HIIgLq2suFVzOu9kKhPPIGhvLpOBNDrJ0PNpgou2Lj9Sf&#10;fCnCCLsEFVTet4mUrqjIoJvbljh4N9sZ9EF2pdQdvsK4aeQiipbSYM2BUGFL24qK++lpFJj83sT5&#10;Pr4N152M+ucjkNqDUtPJkK9BeBr8P/xrH7SCxRK+X8IPk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R58GvAAAANsAAAAPAAAAAAAAAAAAAAAAAJgCAABkcnMvZG93bnJldi54&#10;bWxQSwUGAAAAAAQABAD1AAAAgQMAAAAA&#10;" fillcolor="black" strokeweight="42e-5mm"/>
            <w10:anchorlock/>
          </v:group>
        </w:pict>
      </w:r>
    </w:p>
    <w:p w:rsidR="000662BB" w:rsidRPr="000662BB" w:rsidRDefault="000662BB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sub_608"/>
      <w:r w:rsidRPr="000662BB">
        <w:rPr>
          <w:rFonts w:ascii="Times New Roman" w:hAnsi="Times New Roman" w:cs="Times New Roman"/>
          <w:bCs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0662BB" w:rsidRPr="00A60E29" w:rsidRDefault="000662BB" w:rsidP="00A60E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sub_681"/>
      <w:bookmarkEnd w:id="5"/>
      <w:r w:rsidRPr="00A60E29">
        <w:rPr>
          <w:rFonts w:ascii="Times New Roman" w:hAnsi="Times New Roman" w:cs="Times New Roman"/>
          <w:bCs/>
          <w:sz w:val="28"/>
          <w:szCs w:val="28"/>
        </w:rPr>
        <w:t>муниципальная программа реализуется эффективно, если значение показателя</w:t>
      </w:r>
      <w:r w:rsidR="00A60E29" w:rsidRPr="00A60E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0E29" w:rsidRPr="00A60E29">
        <w:rPr>
          <w:rFonts w:ascii="Times New Roman" w:hAnsi="Times New Roman" w:cs="Times New Roman"/>
          <w:bCs/>
          <w:sz w:val="28"/>
          <w:szCs w:val="28"/>
        </w:rPr>
        <w:t>Э</w:t>
      </w:r>
      <w:r w:rsidR="00A60E29" w:rsidRPr="00A60E29">
        <w:rPr>
          <w:rFonts w:ascii="Times New Roman" w:hAnsi="Times New Roman" w:cs="Times New Roman"/>
          <w:bCs/>
          <w:sz w:val="18"/>
          <w:szCs w:val="28"/>
        </w:rPr>
        <w:t>Пр</w:t>
      </w:r>
      <w:proofErr w:type="spellEnd"/>
      <w:r w:rsidRPr="00A60E29">
        <w:rPr>
          <w:rFonts w:ascii="Times New Roman" w:hAnsi="Times New Roman" w:cs="Times New Roman"/>
          <w:bCs/>
          <w:sz w:val="28"/>
          <w:szCs w:val="28"/>
        </w:rPr>
        <w:t xml:space="preserve"> составляет </w:t>
      </w:r>
      <w:r w:rsidR="00A60E29" w:rsidRPr="00A60E29">
        <w:rPr>
          <w:rFonts w:ascii="Times New Roman" w:hAnsi="Times New Roman" w:cs="Times New Roman"/>
          <w:bCs/>
          <w:sz w:val="28"/>
          <w:szCs w:val="28"/>
        </w:rPr>
        <w:t>90</w:t>
      </w:r>
      <w:r w:rsidRPr="00A60E29">
        <w:rPr>
          <w:rFonts w:ascii="Times New Roman" w:hAnsi="Times New Roman" w:cs="Times New Roman"/>
          <w:bCs/>
          <w:sz w:val="28"/>
          <w:szCs w:val="28"/>
        </w:rPr>
        <w:t>% и более;</w:t>
      </w:r>
    </w:p>
    <w:p w:rsidR="00A60E29" w:rsidRPr="00A60E29" w:rsidRDefault="00A60E29" w:rsidP="00A60E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2BB">
        <w:rPr>
          <w:rFonts w:ascii="Times New Roman" w:hAnsi="Times New Roman" w:cs="Times New Roman"/>
          <w:bCs/>
          <w:sz w:val="28"/>
          <w:szCs w:val="28"/>
        </w:rPr>
        <w:t>муниципальная программа реализуется неэффективно, если значение показателя</w:t>
      </w:r>
      <w:r w:rsidR="007C3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0E29">
        <w:rPr>
          <w:rFonts w:ascii="Times New Roman" w:hAnsi="Times New Roman" w:cs="Times New Roman"/>
          <w:bCs/>
          <w:sz w:val="28"/>
          <w:szCs w:val="28"/>
        </w:rPr>
        <w:t>Э</w:t>
      </w:r>
      <w:r w:rsidRPr="00A60E29">
        <w:rPr>
          <w:rFonts w:ascii="Times New Roman" w:hAnsi="Times New Roman" w:cs="Times New Roman"/>
          <w:bCs/>
          <w:sz w:val="1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составляет от 80</w:t>
      </w:r>
      <w:r w:rsidRPr="000662BB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90%</w:t>
      </w:r>
      <w:r w:rsidR="00281ACA">
        <w:rPr>
          <w:rFonts w:ascii="Times New Roman" w:hAnsi="Times New Roman" w:cs="Times New Roman"/>
          <w:bCs/>
          <w:sz w:val="28"/>
          <w:szCs w:val="28"/>
        </w:rPr>
        <w:t>;</w:t>
      </w:r>
    </w:p>
    <w:p w:rsidR="000662BB" w:rsidRDefault="00A60E29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sub_682"/>
      <w:bookmarkEnd w:id="6"/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662BB" w:rsidRPr="000662BB">
        <w:rPr>
          <w:rFonts w:ascii="Times New Roman" w:hAnsi="Times New Roman" w:cs="Times New Roman"/>
          <w:bCs/>
          <w:sz w:val="28"/>
          <w:szCs w:val="28"/>
        </w:rPr>
        <w:t>) муниципальная программа реализуется неэффективно, если значение показателя</w:t>
      </w:r>
      <w:r w:rsidR="007C33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1ACA" w:rsidRPr="00A60E29">
        <w:rPr>
          <w:rFonts w:ascii="Times New Roman" w:hAnsi="Times New Roman" w:cs="Times New Roman"/>
          <w:bCs/>
          <w:sz w:val="28"/>
          <w:szCs w:val="28"/>
        </w:rPr>
        <w:t>Э</w:t>
      </w:r>
      <w:r w:rsidR="00281ACA" w:rsidRPr="00A60E29">
        <w:rPr>
          <w:rFonts w:ascii="Times New Roman" w:hAnsi="Times New Roman" w:cs="Times New Roman"/>
          <w:bCs/>
          <w:sz w:val="18"/>
          <w:szCs w:val="28"/>
        </w:rPr>
        <w:t>Пр</w:t>
      </w:r>
      <w:proofErr w:type="spellEnd"/>
      <w:r w:rsidR="00281ACA">
        <w:rPr>
          <w:rFonts w:ascii="Times New Roman" w:hAnsi="Times New Roman" w:cs="Times New Roman"/>
          <w:bCs/>
          <w:sz w:val="28"/>
          <w:szCs w:val="28"/>
        </w:rPr>
        <w:t xml:space="preserve"> составляет менее 80</w:t>
      </w:r>
      <w:r w:rsidR="000662BB" w:rsidRPr="000662BB">
        <w:rPr>
          <w:rFonts w:ascii="Times New Roman" w:hAnsi="Times New Roman" w:cs="Times New Roman"/>
          <w:bCs/>
          <w:sz w:val="28"/>
          <w:szCs w:val="28"/>
        </w:rPr>
        <w:t>%.</w:t>
      </w:r>
    </w:p>
    <w:p w:rsidR="00556C83" w:rsidRDefault="00556C83" w:rsidP="00272AB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 социально-экономический эффект от реализации муниципальной программы выражается в сохранении</w:t>
      </w:r>
      <w:r w:rsidR="00B471B1">
        <w:rPr>
          <w:rFonts w:ascii="Times New Roman" w:hAnsi="Times New Roman" w:cs="Times New Roman"/>
          <w:bCs/>
          <w:sz w:val="28"/>
          <w:szCs w:val="28"/>
        </w:rPr>
        <w:t xml:space="preserve"> благоприятного состояния </w:t>
      </w:r>
      <w:r>
        <w:rPr>
          <w:rFonts w:ascii="Times New Roman" w:hAnsi="Times New Roman" w:cs="Times New Roman"/>
          <w:bCs/>
          <w:sz w:val="28"/>
          <w:szCs w:val="28"/>
        </w:rPr>
        <w:t>окружающей среды</w:t>
      </w:r>
      <w:r w:rsidR="00E8772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Астрахань»</w:t>
      </w:r>
      <w:r>
        <w:rPr>
          <w:rFonts w:ascii="Times New Roman" w:hAnsi="Times New Roman" w:cs="Times New Roman"/>
          <w:bCs/>
          <w:sz w:val="28"/>
          <w:szCs w:val="28"/>
        </w:rPr>
        <w:t>, и соответственно, в повышении качества жизни населения.</w:t>
      </w:r>
    </w:p>
    <w:p w:rsidR="00E71FBD" w:rsidRPr="006E3D16" w:rsidRDefault="00556C83" w:rsidP="00B07B0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Экономический эффект муниципальной программы будет связан с </w:t>
      </w:r>
      <w:r w:rsidR="00F061C5">
        <w:rPr>
          <w:rFonts w:ascii="Times New Roman" w:hAnsi="Times New Roman" w:cs="Times New Roman"/>
          <w:bCs/>
          <w:sz w:val="28"/>
          <w:szCs w:val="28"/>
        </w:rPr>
        <w:t>оптимизацией расходования бюджетных средств, сосредоточением ресурсов на решении приоритетных задач в сфере охраны окружающей среды муниципального образования «Город Астрахань».</w:t>
      </w:r>
      <w:bookmarkEnd w:id="7"/>
    </w:p>
    <w:p w:rsidR="008A7015" w:rsidRDefault="008A7015" w:rsidP="003E54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42C6" w:rsidRDefault="00E942C6" w:rsidP="003E54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BE6" w:rsidRDefault="00E01BAE" w:rsidP="003E5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0554" w:rsidRPr="003E547B">
        <w:rPr>
          <w:rFonts w:ascii="Times New Roman" w:hAnsi="Times New Roman" w:cs="Times New Roman"/>
          <w:sz w:val="28"/>
          <w:szCs w:val="28"/>
        </w:rPr>
        <w:t>ачальник</w:t>
      </w:r>
      <w:r w:rsidR="00496F2D">
        <w:rPr>
          <w:rFonts w:ascii="Times New Roman" w:hAnsi="Times New Roman" w:cs="Times New Roman"/>
          <w:sz w:val="28"/>
          <w:szCs w:val="28"/>
        </w:rPr>
        <w:t xml:space="preserve"> </w:t>
      </w:r>
      <w:r w:rsidR="00920554" w:rsidRPr="003E547B">
        <w:rPr>
          <w:rFonts w:ascii="Times New Roman" w:hAnsi="Times New Roman" w:cs="Times New Roman"/>
          <w:sz w:val="28"/>
          <w:szCs w:val="28"/>
        </w:rPr>
        <w:t>управления</w:t>
      </w:r>
      <w:r w:rsidR="005807ED">
        <w:rPr>
          <w:rFonts w:ascii="Times New Roman" w:hAnsi="Times New Roman" w:cs="Times New Roman"/>
          <w:sz w:val="28"/>
          <w:szCs w:val="28"/>
        </w:rPr>
        <w:t xml:space="preserve"> </w:t>
      </w:r>
      <w:r w:rsidR="00496F2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D21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8" w:name="_GoBack"/>
      <w:bookmarkEnd w:id="8"/>
      <w:r w:rsidR="0049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 Наумов</w:t>
      </w:r>
    </w:p>
    <w:p w:rsidR="00CB7BE6" w:rsidRPr="00CB7BE6" w:rsidRDefault="00CB7BE6" w:rsidP="00CB7BE6">
      <w:pPr>
        <w:rPr>
          <w:rFonts w:ascii="Times New Roman" w:hAnsi="Times New Roman" w:cs="Times New Roman"/>
          <w:sz w:val="28"/>
          <w:szCs w:val="28"/>
        </w:rPr>
      </w:pPr>
    </w:p>
    <w:p w:rsidR="00CB7BE6" w:rsidRDefault="00CB7BE6" w:rsidP="00CB7BE6">
      <w:pPr>
        <w:rPr>
          <w:rFonts w:ascii="Times New Roman" w:hAnsi="Times New Roman" w:cs="Times New Roman"/>
          <w:sz w:val="28"/>
          <w:szCs w:val="28"/>
        </w:rPr>
      </w:pPr>
    </w:p>
    <w:p w:rsidR="003E547B" w:rsidRPr="00CB7BE6" w:rsidRDefault="003E547B" w:rsidP="00CB7B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547B" w:rsidRPr="00CB7BE6" w:rsidSect="00873748">
      <w:headerReference w:type="default" r:id="rId18"/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CC" w:rsidRDefault="001D55CC" w:rsidP="000F26D3">
      <w:pPr>
        <w:spacing w:after="0" w:line="240" w:lineRule="auto"/>
      </w:pPr>
      <w:r>
        <w:separator/>
      </w:r>
    </w:p>
  </w:endnote>
  <w:endnote w:type="continuationSeparator" w:id="0">
    <w:p w:rsidR="001D55CC" w:rsidRDefault="001D55CC" w:rsidP="000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CC" w:rsidRDefault="001D55CC" w:rsidP="000F26D3">
      <w:pPr>
        <w:spacing w:after="0" w:line="240" w:lineRule="auto"/>
      </w:pPr>
      <w:r>
        <w:separator/>
      </w:r>
    </w:p>
  </w:footnote>
  <w:footnote w:type="continuationSeparator" w:id="0">
    <w:p w:rsidR="001D55CC" w:rsidRDefault="001D55CC" w:rsidP="000F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429459"/>
      <w:docPartObj>
        <w:docPartGallery w:val="Page Numbers (Top of Page)"/>
        <w:docPartUnique/>
      </w:docPartObj>
    </w:sdtPr>
    <w:sdtEndPr/>
    <w:sdtContent>
      <w:p w:rsidR="005807ED" w:rsidRDefault="003F19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807ED" w:rsidRDefault="005807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E6E"/>
    <w:multiLevelType w:val="hybridMultilevel"/>
    <w:tmpl w:val="0CE65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4FE"/>
    <w:multiLevelType w:val="hybridMultilevel"/>
    <w:tmpl w:val="FBB6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11B3"/>
    <w:multiLevelType w:val="hybridMultilevel"/>
    <w:tmpl w:val="7C6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8C2"/>
    <w:multiLevelType w:val="hybridMultilevel"/>
    <w:tmpl w:val="2F52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64C5"/>
    <w:multiLevelType w:val="hybridMultilevel"/>
    <w:tmpl w:val="CEAAED1A"/>
    <w:lvl w:ilvl="0" w:tplc="8E7ED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176139"/>
    <w:multiLevelType w:val="hybridMultilevel"/>
    <w:tmpl w:val="3A88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9E0"/>
    <w:multiLevelType w:val="hybridMultilevel"/>
    <w:tmpl w:val="F16E9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C5416A1"/>
    <w:multiLevelType w:val="hybridMultilevel"/>
    <w:tmpl w:val="B4D25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90074"/>
    <w:multiLevelType w:val="hybridMultilevel"/>
    <w:tmpl w:val="36C2F9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BC4921"/>
    <w:multiLevelType w:val="hybridMultilevel"/>
    <w:tmpl w:val="5F2EC6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D79"/>
    <w:rsid w:val="00000D16"/>
    <w:rsid w:val="00005B40"/>
    <w:rsid w:val="00027CF8"/>
    <w:rsid w:val="00041117"/>
    <w:rsid w:val="00052CDC"/>
    <w:rsid w:val="000662BB"/>
    <w:rsid w:val="00073145"/>
    <w:rsid w:val="00075807"/>
    <w:rsid w:val="00076CE6"/>
    <w:rsid w:val="000A0327"/>
    <w:rsid w:val="000B2A32"/>
    <w:rsid w:val="000B2A88"/>
    <w:rsid w:val="000C6FED"/>
    <w:rsid w:val="000F26D3"/>
    <w:rsid w:val="001036B2"/>
    <w:rsid w:val="0010393D"/>
    <w:rsid w:val="00113FE0"/>
    <w:rsid w:val="00120385"/>
    <w:rsid w:val="0012724A"/>
    <w:rsid w:val="0013748C"/>
    <w:rsid w:val="0014750E"/>
    <w:rsid w:val="00156E5A"/>
    <w:rsid w:val="00174D40"/>
    <w:rsid w:val="00175EAB"/>
    <w:rsid w:val="001767D2"/>
    <w:rsid w:val="00194706"/>
    <w:rsid w:val="001B7929"/>
    <w:rsid w:val="001D2C17"/>
    <w:rsid w:val="001D38FB"/>
    <w:rsid w:val="001D55CC"/>
    <w:rsid w:val="001F4DB8"/>
    <w:rsid w:val="001F6222"/>
    <w:rsid w:val="00210182"/>
    <w:rsid w:val="0021799E"/>
    <w:rsid w:val="00234CEE"/>
    <w:rsid w:val="00250ADC"/>
    <w:rsid w:val="0025369C"/>
    <w:rsid w:val="00272AB6"/>
    <w:rsid w:val="00281ACA"/>
    <w:rsid w:val="002E3221"/>
    <w:rsid w:val="002E4A69"/>
    <w:rsid w:val="0031178D"/>
    <w:rsid w:val="0031513E"/>
    <w:rsid w:val="00315343"/>
    <w:rsid w:val="0032075F"/>
    <w:rsid w:val="00322C63"/>
    <w:rsid w:val="00333152"/>
    <w:rsid w:val="00342FA0"/>
    <w:rsid w:val="00354592"/>
    <w:rsid w:val="00357F6C"/>
    <w:rsid w:val="00361ADA"/>
    <w:rsid w:val="003627B3"/>
    <w:rsid w:val="003658FE"/>
    <w:rsid w:val="00366F9F"/>
    <w:rsid w:val="003A0704"/>
    <w:rsid w:val="003B6FE7"/>
    <w:rsid w:val="003E27E4"/>
    <w:rsid w:val="003E4858"/>
    <w:rsid w:val="003E547B"/>
    <w:rsid w:val="003E6C18"/>
    <w:rsid w:val="003F0AB0"/>
    <w:rsid w:val="003F10A4"/>
    <w:rsid w:val="003F19BD"/>
    <w:rsid w:val="003F4900"/>
    <w:rsid w:val="00407A57"/>
    <w:rsid w:val="00432D86"/>
    <w:rsid w:val="00443574"/>
    <w:rsid w:val="00474D71"/>
    <w:rsid w:val="00476157"/>
    <w:rsid w:val="00485005"/>
    <w:rsid w:val="00496F2D"/>
    <w:rsid w:val="004A3818"/>
    <w:rsid w:val="004A6C5A"/>
    <w:rsid w:val="004B68E6"/>
    <w:rsid w:val="004D5A1A"/>
    <w:rsid w:val="004D69D6"/>
    <w:rsid w:val="004E1AD4"/>
    <w:rsid w:val="004E57DD"/>
    <w:rsid w:val="004F344A"/>
    <w:rsid w:val="00514ACC"/>
    <w:rsid w:val="00535B88"/>
    <w:rsid w:val="00556C83"/>
    <w:rsid w:val="0056048E"/>
    <w:rsid w:val="00571F9F"/>
    <w:rsid w:val="005807ED"/>
    <w:rsid w:val="005B2137"/>
    <w:rsid w:val="005B66EC"/>
    <w:rsid w:val="005B6B54"/>
    <w:rsid w:val="005C155E"/>
    <w:rsid w:val="005E101F"/>
    <w:rsid w:val="005F5995"/>
    <w:rsid w:val="005F6296"/>
    <w:rsid w:val="0061013F"/>
    <w:rsid w:val="00613023"/>
    <w:rsid w:val="006175D4"/>
    <w:rsid w:val="00632FA8"/>
    <w:rsid w:val="00640FB0"/>
    <w:rsid w:val="00647085"/>
    <w:rsid w:val="006546D3"/>
    <w:rsid w:val="00673012"/>
    <w:rsid w:val="0067551C"/>
    <w:rsid w:val="00677109"/>
    <w:rsid w:val="006E372B"/>
    <w:rsid w:val="006E3D16"/>
    <w:rsid w:val="007605C3"/>
    <w:rsid w:val="007A0443"/>
    <w:rsid w:val="007A2583"/>
    <w:rsid w:val="007C20DB"/>
    <w:rsid w:val="007C3315"/>
    <w:rsid w:val="007E4053"/>
    <w:rsid w:val="007F7AA3"/>
    <w:rsid w:val="008220F8"/>
    <w:rsid w:val="00835EBC"/>
    <w:rsid w:val="008659AE"/>
    <w:rsid w:val="008671E3"/>
    <w:rsid w:val="008718C8"/>
    <w:rsid w:val="00873748"/>
    <w:rsid w:val="008A7015"/>
    <w:rsid w:val="008C040D"/>
    <w:rsid w:val="008C48F3"/>
    <w:rsid w:val="008E51DA"/>
    <w:rsid w:val="008F1C1C"/>
    <w:rsid w:val="008F4021"/>
    <w:rsid w:val="00905210"/>
    <w:rsid w:val="0091043F"/>
    <w:rsid w:val="00920554"/>
    <w:rsid w:val="00922230"/>
    <w:rsid w:val="00933570"/>
    <w:rsid w:val="00943A90"/>
    <w:rsid w:val="00963540"/>
    <w:rsid w:val="00967138"/>
    <w:rsid w:val="00975DB2"/>
    <w:rsid w:val="00997D79"/>
    <w:rsid w:val="009A3828"/>
    <w:rsid w:val="009B4546"/>
    <w:rsid w:val="009B6FED"/>
    <w:rsid w:val="009C4CC8"/>
    <w:rsid w:val="009C58FF"/>
    <w:rsid w:val="009C6F5B"/>
    <w:rsid w:val="009D212A"/>
    <w:rsid w:val="009D6A1D"/>
    <w:rsid w:val="009E2AFC"/>
    <w:rsid w:val="009F3E1A"/>
    <w:rsid w:val="009F7F57"/>
    <w:rsid w:val="00A027A1"/>
    <w:rsid w:val="00A123CF"/>
    <w:rsid w:val="00A33835"/>
    <w:rsid w:val="00A34C96"/>
    <w:rsid w:val="00A60E29"/>
    <w:rsid w:val="00A651BD"/>
    <w:rsid w:val="00A668A5"/>
    <w:rsid w:val="00A8052F"/>
    <w:rsid w:val="00A86912"/>
    <w:rsid w:val="00AA6F71"/>
    <w:rsid w:val="00AB5CEA"/>
    <w:rsid w:val="00AD2687"/>
    <w:rsid w:val="00AD77BF"/>
    <w:rsid w:val="00AF53B1"/>
    <w:rsid w:val="00B07B07"/>
    <w:rsid w:val="00B471B1"/>
    <w:rsid w:val="00B503E7"/>
    <w:rsid w:val="00B524CD"/>
    <w:rsid w:val="00B54AEA"/>
    <w:rsid w:val="00B61E14"/>
    <w:rsid w:val="00B86FEF"/>
    <w:rsid w:val="00B923B2"/>
    <w:rsid w:val="00B943D3"/>
    <w:rsid w:val="00B95351"/>
    <w:rsid w:val="00BB2048"/>
    <w:rsid w:val="00BC3CDC"/>
    <w:rsid w:val="00BD5BF6"/>
    <w:rsid w:val="00BE4B5A"/>
    <w:rsid w:val="00C230BB"/>
    <w:rsid w:val="00C30E71"/>
    <w:rsid w:val="00C3715B"/>
    <w:rsid w:val="00C41A0B"/>
    <w:rsid w:val="00C56DA9"/>
    <w:rsid w:val="00C6385D"/>
    <w:rsid w:val="00C65B6F"/>
    <w:rsid w:val="00C8526D"/>
    <w:rsid w:val="00C955FF"/>
    <w:rsid w:val="00CB1B47"/>
    <w:rsid w:val="00CB7BE6"/>
    <w:rsid w:val="00CC03B8"/>
    <w:rsid w:val="00CD19AE"/>
    <w:rsid w:val="00CD4011"/>
    <w:rsid w:val="00CE4932"/>
    <w:rsid w:val="00CF3C1A"/>
    <w:rsid w:val="00D62D8E"/>
    <w:rsid w:val="00D63A65"/>
    <w:rsid w:val="00D818F2"/>
    <w:rsid w:val="00D8711D"/>
    <w:rsid w:val="00DB0837"/>
    <w:rsid w:val="00DC1647"/>
    <w:rsid w:val="00DC7594"/>
    <w:rsid w:val="00DD2198"/>
    <w:rsid w:val="00DD5E19"/>
    <w:rsid w:val="00E006D0"/>
    <w:rsid w:val="00E01BAE"/>
    <w:rsid w:val="00E32A73"/>
    <w:rsid w:val="00E57BE8"/>
    <w:rsid w:val="00E6058D"/>
    <w:rsid w:val="00E621D9"/>
    <w:rsid w:val="00E65ABD"/>
    <w:rsid w:val="00E71FBD"/>
    <w:rsid w:val="00E7470C"/>
    <w:rsid w:val="00E76994"/>
    <w:rsid w:val="00E865D1"/>
    <w:rsid w:val="00E87723"/>
    <w:rsid w:val="00E90A1E"/>
    <w:rsid w:val="00E942C6"/>
    <w:rsid w:val="00EB2A41"/>
    <w:rsid w:val="00EB63FC"/>
    <w:rsid w:val="00EB6552"/>
    <w:rsid w:val="00EC27BB"/>
    <w:rsid w:val="00ED1147"/>
    <w:rsid w:val="00ED3FBE"/>
    <w:rsid w:val="00EE50E6"/>
    <w:rsid w:val="00EE559C"/>
    <w:rsid w:val="00EF1CAE"/>
    <w:rsid w:val="00EF5926"/>
    <w:rsid w:val="00F061C5"/>
    <w:rsid w:val="00F11B4F"/>
    <w:rsid w:val="00F17823"/>
    <w:rsid w:val="00F30012"/>
    <w:rsid w:val="00F3490F"/>
    <w:rsid w:val="00F438A3"/>
    <w:rsid w:val="00F50D57"/>
    <w:rsid w:val="00F80DB3"/>
    <w:rsid w:val="00F9459B"/>
    <w:rsid w:val="00F970C3"/>
    <w:rsid w:val="00FA0A29"/>
    <w:rsid w:val="00FA3642"/>
    <w:rsid w:val="00FA7360"/>
    <w:rsid w:val="00FB2887"/>
    <w:rsid w:val="00FC635A"/>
    <w:rsid w:val="00FD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49B60F6A-EE0B-48C8-80B4-1887DCFE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F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71FB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71FB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6F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26D3"/>
  </w:style>
  <w:style w:type="paragraph" w:styleId="ab">
    <w:name w:val="footer"/>
    <w:basedOn w:val="a"/>
    <w:link w:val="ac"/>
    <w:uiPriority w:val="99"/>
    <w:unhideWhenUsed/>
    <w:rsid w:val="000F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41BC-DEEB-4246-83E8-B3562274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KAB18</dc:creator>
  <cp:lastModifiedBy>УКХБ УКХБ</cp:lastModifiedBy>
  <cp:revision>61</cp:revision>
  <cp:lastPrinted>2017-08-22T13:48:00Z</cp:lastPrinted>
  <dcterms:created xsi:type="dcterms:W3CDTF">2016-07-07T06:36:00Z</dcterms:created>
  <dcterms:modified xsi:type="dcterms:W3CDTF">2017-08-22T13:52:00Z</dcterms:modified>
</cp:coreProperties>
</file>