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49E" w:rsidRPr="00774B2D" w:rsidRDefault="00827725" w:rsidP="00E70893">
      <w:pPr>
        <w:contextualSpacing/>
        <w:jc w:val="center"/>
        <w:rPr>
          <w:rFonts w:cs="Times New Roman"/>
          <w:b/>
          <w:sz w:val="26"/>
          <w:szCs w:val="26"/>
        </w:rPr>
      </w:pPr>
      <w:bookmarkStart w:id="0" w:name="_GoBack"/>
      <w:bookmarkEnd w:id="0"/>
      <w:r w:rsidRPr="00774B2D">
        <w:rPr>
          <w:rFonts w:cs="Times New Roman"/>
          <w:b/>
          <w:sz w:val="26"/>
          <w:szCs w:val="26"/>
        </w:rPr>
        <w:t>Подпрограмма 2</w:t>
      </w:r>
    </w:p>
    <w:p w:rsidR="007F449E" w:rsidRPr="00774B2D" w:rsidRDefault="007F449E" w:rsidP="00E70893">
      <w:pPr>
        <w:pStyle w:val="a8"/>
        <w:contextualSpacing/>
        <w:jc w:val="center"/>
        <w:rPr>
          <w:rFonts w:cs="Times New Roman"/>
          <w:b/>
          <w:sz w:val="26"/>
          <w:szCs w:val="26"/>
        </w:rPr>
      </w:pPr>
      <w:r w:rsidRPr="00774B2D">
        <w:rPr>
          <w:rFonts w:cs="Times New Roman"/>
          <w:b/>
          <w:sz w:val="26"/>
          <w:szCs w:val="26"/>
        </w:rPr>
        <w:t>«Повышение безопасности дорожного движения в городе Астрахани</w:t>
      </w:r>
      <w:r w:rsidR="00662E1F" w:rsidRPr="00774B2D">
        <w:rPr>
          <w:rFonts w:cs="Times New Roman"/>
          <w:b/>
          <w:sz w:val="26"/>
          <w:szCs w:val="26"/>
        </w:rPr>
        <w:t>»</w:t>
      </w:r>
    </w:p>
    <w:p w:rsidR="00827725" w:rsidRPr="00774B2D" w:rsidRDefault="00827725" w:rsidP="00E70893">
      <w:pPr>
        <w:pStyle w:val="a8"/>
        <w:contextualSpacing/>
        <w:jc w:val="center"/>
        <w:rPr>
          <w:rFonts w:cs="Times New Roman"/>
          <w:b/>
          <w:sz w:val="26"/>
          <w:szCs w:val="26"/>
        </w:rPr>
      </w:pPr>
    </w:p>
    <w:p w:rsidR="00662E1F" w:rsidRPr="00774B2D" w:rsidRDefault="00827725" w:rsidP="00E70893">
      <w:pPr>
        <w:pStyle w:val="a8"/>
        <w:numPr>
          <w:ilvl w:val="0"/>
          <w:numId w:val="4"/>
        </w:numPr>
        <w:ind w:left="0" w:firstLine="0"/>
        <w:contextualSpacing/>
        <w:jc w:val="center"/>
        <w:rPr>
          <w:rFonts w:cs="Times New Roman"/>
          <w:b/>
          <w:sz w:val="26"/>
          <w:szCs w:val="26"/>
        </w:rPr>
      </w:pPr>
      <w:r w:rsidRPr="00774B2D">
        <w:rPr>
          <w:rFonts w:cs="Times New Roman"/>
          <w:b/>
          <w:sz w:val="26"/>
          <w:szCs w:val="26"/>
        </w:rPr>
        <w:t>Паспорт</w:t>
      </w:r>
    </w:p>
    <w:p w:rsidR="002F4A4E" w:rsidRPr="00774B2D" w:rsidRDefault="002F4A4E" w:rsidP="002F4A4E">
      <w:pPr>
        <w:pStyle w:val="a8"/>
        <w:contextualSpacing/>
        <w:rPr>
          <w:rFonts w:cs="Times New Roman"/>
          <w:b/>
          <w:sz w:val="26"/>
          <w:szCs w:val="26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219"/>
        <w:gridCol w:w="5351"/>
      </w:tblGrid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 муниципальной программы</w:t>
            </w:r>
          </w:p>
        </w:tc>
        <w:tc>
          <w:tcPr>
            <w:tcW w:w="5352" w:type="dxa"/>
          </w:tcPr>
          <w:p w:rsidR="007F449E" w:rsidRPr="00E919BE" w:rsidRDefault="007F449E" w:rsidP="00AE4611">
            <w:pPr>
              <w:pStyle w:val="a8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«Повышение безопасности дорожного движения в городе Астрахани» (далее- Подпрограмма</w:t>
            </w:r>
            <w:r w:rsidR="00827725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5352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коммунальному хозяйству и благоустройству администрации </w:t>
            </w:r>
            <w:r w:rsidR="00F17772" w:rsidRPr="00E919BE">
              <w:rPr>
                <w:rFonts w:ascii="Times New Roman" w:hAnsi="Times New Roman" w:cs="Times New Roman"/>
                <w:sz w:val="26"/>
                <w:szCs w:val="26"/>
              </w:rPr>
              <w:t>муниципального образования «Город Астрахань»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Участники подпрограммы муниципальной программы</w:t>
            </w:r>
          </w:p>
        </w:tc>
        <w:tc>
          <w:tcPr>
            <w:tcW w:w="5352" w:type="dxa"/>
          </w:tcPr>
          <w:p w:rsidR="007F449E" w:rsidRPr="00E919BE" w:rsidRDefault="00F17772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EE3CC8" w:rsidRPr="00E919BE">
              <w:rPr>
                <w:rFonts w:ascii="Times New Roman" w:hAnsi="Times New Roman" w:cs="Times New Roman"/>
                <w:sz w:val="26"/>
                <w:szCs w:val="26"/>
              </w:rPr>
              <w:t>тсутствуют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CE6A5F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Цели </w:t>
            </w:r>
            <w:r w:rsidR="007F449E" w:rsidRPr="00E919BE">
              <w:rPr>
                <w:rFonts w:ascii="Times New Roman" w:hAnsi="Times New Roman" w:cs="Times New Roman"/>
                <w:sz w:val="26"/>
                <w:szCs w:val="26"/>
              </w:rPr>
              <w:t>подпрограммы муниципальной программы</w:t>
            </w:r>
          </w:p>
        </w:tc>
        <w:tc>
          <w:tcPr>
            <w:tcW w:w="5352" w:type="dxa"/>
          </w:tcPr>
          <w:p w:rsidR="007F449E" w:rsidRPr="00E919BE" w:rsidRDefault="00AD063D" w:rsidP="00EE3CC8">
            <w:pPr>
              <w:pStyle w:val="Standard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повышение уровня безопасности дорожного движения в городе Астрахани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Задачи подпрограммы муниципальной программы</w:t>
            </w:r>
          </w:p>
        </w:tc>
        <w:tc>
          <w:tcPr>
            <w:tcW w:w="5352" w:type="dxa"/>
          </w:tcPr>
          <w:p w:rsidR="007F449E" w:rsidRPr="00E919BE" w:rsidRDefault="00AD063D" w:rsidP="000F4098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повышение бе</w:t>
            </w:r>
            <w:r w:rsidR="000F4098" w:rsidRPr="00E919BE">
              <w:rPr>
                <w:rFonts w:ascii="Times New Roman" w:hAnsi="Times New Roman" w:cs="Times New Roman"/>
                <w:sz w:val="26"/>
                <w:szCs w:val="26"/>
              </w:rPr>
              <w:t>зопасности пешеходного движения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Целевые показатели подпрограммы (индикаторы) муниципальной программы</w:t>
            </w:r>
          </w:p>
        </w:tc>
        <w:tc>
          <w:tcPr>
            <w:tcW w:w="5352" w:type="dxa"/>
          </w:tcPr>
          <w:p w:rsidR="007F449E" w:rsidRPr="00E919BE" w:rsidRDefault="00795ECE" w:rsidP="000F4098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81511" w:rsidRPr="00E919B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AA6926" w:rsidRPr="00E919BE">
              <w:rPr>
                <w:rFonts w:ascii="Times New Roman" w:hAnsi="Times New Roman" w:cs="Times New Roman"/>
                <w:sz w:val="26"/>
                <w:szCs w:val="26"/>
              </w:rPr>
              <w:t>оличество дорожно-транспортных прои</w:t>
            </w:r>
            <w:r w:rsidR="00AA6926" w:rsidRPr="00E919B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AA6926" w:rsidRPr="00E919BE">
              <w:rPr>
                <w:rFonts w:ascii="Times New Roman" w:hAnsi="Times New Roman" w:cs="Times New Roman"/>
                <w:sz w:val="26"/>
                <w:szCs w:val="26"/>
              </w:rPr>
              <w:t>шествий, связанных с наездом на пешеходов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95ECE" w:rsidRPr="00E919BE" w:rsidRDefault="00795ECE" w:rsidP="00BB64C3">
            <w:pPr>
              <w:suppressAutoHyphens w:val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BB64C3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протяженность 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663A98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рог с установленными </w:t>
            </w:r>
            <w:r w:rsidR="003D79B5" w:rsidRPr="00E919BE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3D79B5" w:rsidRPr="00E919BE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3D79B5" w:rsidRPr="00E919BE">
              <w:rPr>
                <w:rFonts w:ascii="Times New Roman" w:hAnsi="Times New Roman" w:cs="Times New Roman"/>
                <w:sz w:val="26"/>
                <w:szCs w:val="26"/>
              </w:rPr>
              <w:t>рожными ограждениями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Сроки и этапы реализации подпрограммы муниципальной программы</w:t>
            </w:r>
          </w:p>
        </w:tc>
        <w:tc>
          <w:tcPr>
            <w:tcW w:w="5352" w:type="dxa"/>
          </w:tcPr>
          <w:p w:rsidR="007F449E" w:rsidRPr="00E919BE" w:rsidRDefault="007F449E" w:rsidP="00F4667E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="005A6714" w:rsidRPr="00E919BE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-20</w:t>
            </w:r>
            <w:r w:rsidR="00F4667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268B5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E6A5F" w:rsidRPr="00E919BE">
              <w:rPr>
                <w:rFonts w:ascii="Times New Roman" w:hAnsi="Times New Roman" w:cs="Times New Roman"/>
                <w:sz w:val="26"/>
                <w:szCs w:val="26"/>
              </w:rPr>
              <w:t>гг.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подпрограммы муниципальной программы</w:t>
            </w:r>
          </w:p>
        </w:tc>
        <w:tc>
          <w:tcPr>
            <w:tcW w:w="5352" w:type="dxa"/>
          </w:tcPr>
          <w:p w:rsidR="00CC698B" w:rsidRPr="00E919BE" w:rsidRDefault="000F4098" w:rsidP="00CC69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 П</w:t>
            </w:r>
            <w:r w:rsidR="007F449E" w:rsidRPr="00E919BE">
              <w:rPr>
                <w:rFonts w:ascii="Times New Roman" w:hAnsi="Times New Roman" w:cs="Times New Roman"/>
                <w:sz w:val="26"/>
                <w:szCs w:val="26"/>
              </w:rPr>
              <w:t>одпрограммы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7030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6083" w:rsidRPr="00E919BE">
              <w:rPr>
                <w:rFonts w:ascii="Times New Roman" w:hAnsi="Times New Roman" w:cs="Times New Roman"/>
                <w:sz w:val="26"/>
                <w:szCs w:val="26"/>
              </w:rPr>
              <w:t>за счет бюджета муниципального образования «Город Астрахань»</w:t>
            </w:r>
            <w:r w:rsidR="002958D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449E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составляет </w:t>
            </w:r>
            <w:r w:rsidR="0058720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84107">
              <w:rPr>
                <w:rFonts w:ascii="Times New Roman" w:hAnsi="Times New Roman" w:cs="Times New Roman"/>
                <w:sz w:val="26"/>
                <w:szCs w:val="26"/>
              </w:rPr>
              <w:t>8 7</w:t>
            </w:r>
            <w:r w:rsidR="004A1701">
              <w:rPr>
                <w:rFonts w:ascii="Times New Roman" w:hAnsi="Times New Roman" w:cs="Times New Roman"/>
                <w:sz w:val="26"/>
                <w:szCs w:val="26"/>
              </w:rPr>
              <w:t>25 129,02</w:t>
            </w:r>
            <w:r w:rsidR="00460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62685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руб., </w:t>
            </w:r>
            <w:r w:rsidR="00CC698B" w:rsidRPr="00E919BE">
              <w:rPr>
                <w:rFonts w:ascii="Times New Roman" w:hAnsi="Times New Roman" w:cs="Times New Roman"/>
                <w:sz w:val="26"/>
                <w:szCs w:val="26"/>
              </w:rPr>
              <w:t>в том числе по годам:</w:t>
            </w:r>
          </w:p>
          <w:p w:rsidR="005A6714" w:rsidRPr="00E919BE" w:rsidRDefault="005A6714" w:rsidP="00CC698B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2016 – 6 897 477,24 руб.,</w:t>
            </w:r>
          </w:p>
          <w:p w:rsidR="00CC698B" w:rsidRPr="00E919BE" w:rsidRDefault="00EE4456" w:rsidP="00D338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– 6</w:t>
            </w:r>
            <w:r w:rsidR="00587201">
              <w:rPr>
                <w:rFonts w:ascii="Times New Roman" w:hAnsi="Times New Roman" w:cs="Times New Roman"/>
                <w:sz w:val="26"/>
                <w:szCs w:val="26"/>
              </w:rPr>
              <w:t> 841 762,40</w:t>
            </w:r>
            <w:r w:rsidR="00762685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AE4611" w:rsidRPr="00E919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4667E" w:rsidRDefault="00AE4611" w:rsidP="004A1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  <w:r w:rsidR="00EE4456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4A1701">
              <w:rPr>
                <w:rFonts w:ascii="Times New Roman" w:hAnsi="Times New Roman" w:cs="Times New Roman"/>
                <w:sz w:val="26"/>
                <w:szCs w:val="26"/>
              </w:rPr>
              <w:t>7 485 889,38</w:t>
            </w:r>
            <w:r w:rsidR="00F4667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030C1">
              <w:rPr>
                <w:rFonts w:ascii="Times New Roman" w:hAnsi="Times New Roman" w:cs="Times New Roman"/>
                <w:sz w:val="26"/>
                <w:szCs w:val="26"/>
              </w:rPr>
              <w:t>руб.,</w:t>
            </w:r>
          </w:p>
          <w:p w:rsidR="007030C1" w:rsidRDefault="007030C1" w:rsidP="004A1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2019 – </w:t>
            </w:r>
            <w:r w:rsidR="00684107">
              <w:rPr>
                <w:rFonts w:ascii="Times New Roman" w:hAnsi="Times New Roman" w:cs="Times New Roman"/>
                <w:sz w:val="26"/>
                <w:szCs w:val="26"/>
              </w:rPr>
              <w:t>7 500 00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0,00 руб.</w:t>
            </w:r>
          </w:p>
          <w:p w:rsidR="007030C1" w:rsidRPr="00E919BE" w:rsidRDefault="007030C1" w:rsidP="004A17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  <w:r w:rsidR="0068410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 0,00 руб.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352" w:type="dxa"/>
          </w:tcPr>
          <w:p w:rsidR="00762685" w:rsidRPr="00E919BE" w:rsidRDefault="007F449E" w:rsidP="00CE6A5F">
            <w:pPr>
              <w:pStyle w:val="Standar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r w:rsidR="000F4098" w:rsidRPr="00E919BE">
              <w:rPr>
                <w:rFonts w:ascii="Times New Roman" w:hAnsi="Times New Roman" w:cs="Times New Roman"/>
                <w:sz w:val="26"/>
                <w:szCs w:val="26"/>
              </w:rPr>
              <w:t>Под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  <w:r w:rsidR="000F4098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позволит достичь следующих результатов:</w:t>
            </w:r>
          </w:p>
          <w:p w:rsidR="006A0D6D" w:rsidRPr="00E919BE" w:rsidRDefault="00CE6A5F" w:rsidP="006A0D6D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7293D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снижение </w:t>
            </w:r>
            <w:r w:rsidR="006A0D6D" w:rsidRPr="00E919BE">
              <w:rPr>
                <w:rFonts w:ascii="Times New Roman" w:hAnsi="Times New Roman" w:cs="Times New Roman"/>
                <w:sz w:val="26"/>
                <w:szCs w:val="26"/>
              </w:rPr>
              <w:t>дорожно-транспортных происшествий</w:t>
            </w:r>
            <w:r w:rsidR="00AA6926" w:rsidRPr="00E919B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6A0D6D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связанных с наездом на пешеходов</w:t>
            </w:r>
            <w:r w:rsidR="004605D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4883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r w:rsidR="0077276F" w:rsidRPr="00E919BE">
              <w:rPr>
                <w:rFonts w:ascii="Times New Roman" w:hAnsi="Times New Roman" w:cs="Times New Roman"/>
                <w:sz w:val="26"/>
                <w:szCs w:val="26"/>
              </w:rPr>
              <w:t>7,5</w:t>
            </w:r>
            <w:r w:rsidR="00914883" w:rsidRPr="00E919BE">
              <w:rPr>
                <w:rFonts w:ascii="Times New Roman" w:hAnsi="Times New Roman" w:cs="Times New Roman"/>
                <w:sz w:val="26"/>
                <w:szCs w:val="26"/>
              </w:rPr>
              <w:t>% (ежегодно)</w:t>
            </w:r>
            <w:r w:rsidR="006A0D6D" w:rsidRPr="00E919B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63A98" w:rsidRPr="00E919BE" w:rsidRDefault="00663A98" w:rsidP="00587201">
            <w:pPr>
              <w:tabs>
                <w:tab w:val="left" w:pos="0"/>
              </w:tabs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27293D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увеличение протяженности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дорог с установленными дорожными ограждениями</w:t>
            </w:r>
            <w:r w:rsidR="008979EC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r w:rsidR="00587201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7C28DD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км</w:t>
            </w:r>
            <w:r w:rsidR="00881511" w:rsidRPr="00E919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F449E" w:rsidRPr="008F711C" w:rsidTr="008F711C">
        <w:tc>
          <w:tcPr>
            <w:tcW w:w="4219" w:type="dxa"/>
          </w:tcPr>
          <w:p w:rsidR="007F449E" w:rsidRPr="00E919BE" w:rsidRDefault="007F449E" w:rsidP="00D4575E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Система организации контроля за исполнением подпрограммы муниципальной программы</w:t>
            </w:r>
          </w:p>
        </w:tc>
        <w:tc>
          <w:tcPr>
            <w:tcW w:w="5352" w:type="dxa"/>
          </w:tcPr>
          <w:p w:rsidR="00D0016A" w:rsidRDefault="002544E2" w:rsidP="00D001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Контроль за исполнением Подпрограммы</w:t>
            </w:r>
            <w:r w:rsidR="00FA19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3C6A" w:rsidRPr="00E919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осуществляет управление по коммунальному хозяйству и благоустройству администрации муниципального образования «Город Астрахань». Отчет о реализации Подпрограммы</w:t>
            </w:r>
            <w:r w:rsidR="00D001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B3C6A" w:rsidRPr="00E919B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предоставляется управлением по коммунальному хозяйству и 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благоустройству администрации муниципального образования «Город Астрахань» в управление </w:t>
            </w:r>
            <w:r w:rsidR="0077276F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по капитальному строительству 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</w:t>
            </w:r>
            <w:r w:rsidR="00FE3E4B" w:rsidRPr="00E919BE">
              <w:rPr>
                <w:rFonts w:ascii="Times New Roman" w:hAnsi="Times New Roman" w:cs="Times New Roman"/>
                <w:sz w:val="26"/>
                <w:szCs w:val="26"/>
              </w:rPr>
              <w:t>бразования «Город Астрахань» по итогам:</w:t>
            </w:r>
          </w:p>
          <w:p w:rsidR="00D0016A" w:rsidRDefault="00D0016A" w:rsidP="00D001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1 квартала - 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числа месяца, следующего за отчетным периодом;</w:t>
            </w:r>
            <w:r w:rsidR="00FE3E4B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544E2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- полугодия – 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2544E2"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числа месяца, следующего за отчетным периодом;</w:t>
            </w:r>
          </w:p>
          <w:p w:rsidR="00D0016A" w:rsidRDefault="00D0016A" w:rsidP="00D001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- 9 месяцев - 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 числа месяца, следующего за отчетным периодом;</w:t>
            </w:r>
          </w:p>
          <w:p w:rsidR="007F449E" w:rsidRPr="00E919BE" w:rsidRDefault="002544E2" w:rsidP="00D0016A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 xml:space="preserve">- года – до </w:t>
            </w:r>
            <w:r w:rsidR="00D0016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E919BE">
              <w:rPr>
                <w:rFonts w:ascii="Times New Roman" w:hAnsi="Times New Roman" w:cs="Times New Roman"/>
                <w:sz w:val="26"/>
                <w:szCs w:val="26"/>
              </w:rPr>
              <w:t>5 февраля года, следующего за отчетным годом.</w:t>
            </w:r>
          </w:p>
        </w:tc>
      </w:tr>
    </w:tbl>
    <w:p w:rsidR="007F449E" w:rsidRPr="008F711C" w:rsidRDefault="007F449E" w:rsidP="00D4575E">
      <w:pPr>
        <w:contextualSpacing/>
        <w:jc w:val="center"/>
        <w:rPr>
          <w:rFonts w:cs="Times New Roman"/>
          <w:b/>
          <w:sz w:val="26"/>
          <w:szCs w:val="26"/>
        </w:rPr>
      </w:pPr>
    </w:p>
    <w:p w:rsidR="007F449E" w:rsidRPr="008F711C" w:rsidRDefault="007F449E" w:rsidP="00D4575E">
      <w:pPr>
        <w:contextualSpacing/>
        <w:jc w:val="center"/>
        <w:rPr>
          <w:rFonts w:cs="Times New Roman"/>
          <w:sz w:val="26"/>
          <w:szCs w:val="26"/>
        </w:rPr>
      </w:pPr>
    </w:p>
    <w:p w:rsidR="007F449E" w:rsidRPr="00774B2D" w:rsidRDefault="002544E2" w:rsidP="00D4575E">
      <w:pPr>
        <w:tabs>
          <w:tab w:val="left" w:pos="4395"/>
          <w:tab w:val="left" w:pos="4678"/>
        </w:tabs>
        <w:contextualSpacing/>
        <w:jc w:val="center"/>
        <w:rPr>
          <w:rFonts w:cs="Times New Roman"/>
          <w:b/>
          <w:sz w:val="26"/>
          <w:szCs w:val="26"/>
        </w:rPr>
      </w:pPr>
      <w:r w:rsidRPr="00774B2D">
        <w:rPr>
          <w:rFonts w:cs="Times New Roman"/>
          <w:b/>
          <w:sz w:val="26"/>
          <w:szCs w:val="26"/>
        </w:rPr>
        <w:t xml:space="preserve">2. </w:t>
      </w:r>
      <w:r w:rsidR="007F449E" w:rsidRPr="00774B2D">
        <w:rPr>
          <w:rFonts w:cs="Times New Roman"/>
          <w:b/>
          <w:sz w:val="26"/>
          <w:szCs w:val="26"/>
        </w:rPr>
        <w:t>Характеристика проблемы в рассматриваемой сфере и прогноз её развития с</w:t>
      </w:r>
      <w:r w:rsidR="00881511" w:rsidRPr="00774B2D">
        <w:rPr>
          <w:rFonts w:cs="Times New Roman"/>
          <w:b/>
          <w:sz w:val="26"/>
          <w:szCs w:val="26"/>
        </w:rPr>
        <w:t xml:space="preserve"> учетом реализации П</w:t>
      </w:r>
      <w:r w:rsidRPr="00774B2D">
        <w:rPr>
          <w:rFonts w:cs="Times New Roman"/>
          <w:b/>
          <w:sz w:val="26"/>
          <w:szCs w:val="26"/>
        </w:rPr>
        <w:t>одпрограммы 2</w:t>
      </w:r>
    </w:p>
    <w:p w:rsidR="007F449E" w:rsidRPr="00774B2D" w:rsidRDefault="007F449E" w:rsidP="00D4575E">
      <w:pPr>
        <w:tabs>
          <w:tab w:val="left" w:pos="4395"/>
          <w:tab w:val="left" w:pos="4678"/>
        </w:tabs>
        <w:contextualSpacing/>
        <w:jc w:val="center"/>
        <w:rPr>
          <w:rFonts w:cs="Times New Roman"/>
          <w:b/>
          <w:sz w:val="26"/>
          <w:szCs w:val="26"/>
        </w:rPr>
      </w:pPr>
    </w:p>
    <w:p w:rsidR="00E919BE" w:rsidRPr="00E919BE" w:rsidRDefault="00E919BE" w:rsidP="002B2BDF">
      <w:pPr>
        <w:widowControl/>
        <w:ind w:left="-15" w:firstLine="567"/>
        <w:contextualSpacing/>
        <w:jc w:val="both"/>
        <w:rPr>
          <w:sz w:val="26"/>
          <w:szCs w:val="26"/>
        </w:rPr>
      </w:pPr>
      <w:r w:rsidRPr="00E919BE">
        <w:rPr>
          <w:rFonts w:cs="Times New Roman"/>
          <w:sz w:val="26"/>
          <w:szCs w:val="26"/>
        </w:rPr>
        <w:t>Проблема аварийности, связанная с автомобильным транспортом, в последнее десятилетие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функционирования системы обеспечения безопасности дорожного движения и крайне низкой дисциплинированностью участников дорожного движения.</w:t>
      </w:r>
    </w:p>
    <w:p w:rsidR="00E919BE" w:rsidRPr="00E919BE" w:rsidRDefault="00E919BE" w:rsidP="002B2BDF">
      <w:pPr>
        <w:widowControl/>
        <w:ind w:left="-15" w:firstLine="567"/>
        <w:contextualSpacing/>
        <w:jc w:val="both"/>
        <w:rPr>
          <w:rFonts w:cs="Times New Roman"/>
          <w:sz w:val="26"/>
          <w:szCs w:val="26"/>
        </w:rPr>
      </w:pPr>
      <w:r w:rsidRPr="00E919BE">
        <w:rPr>
          <w:rFonts w:cs="Times New Roman"/>
          <w:sz w:val="26"/>
          <w:szCs w:val="26"/>
        </w:rPr>
        <w:t>Происшествия на дорогах являются одной из серьезнейших социально-экономических проблем и в городе Астрахани.</w:t>
      </w:r>
    </w:p>
    <w:p w:rsidR="00E919BE" w:rsidRPr="00E919BE" w:rsidRDefault="00E919BE" w:rsidP="002B2BDF">
      <w:pPr>
        <w:widowControl/>
        <w:ind w:left="-15" w:firstLine="567"/>
        <w:contextualSpacing/>
        <w:rPr>
          <w:rFonts w:cs="Times New Roman"/>
          <w:sz w:val="26"/>
          <w:szCs w:val="26"/>
        </w:rPr>
      </w:pPr>
      <w:r w:rsidRPr="00E919BE">
        <w:rPr>
          <w:rFonts w:cs="Times New Roman"/>
          <w:sz w:val="26"/>
          <w:szCs w:val="26"/>
        </w:rPr>
        <w:t xml:space="preserve">В целях безопасности дорожного движения в муниципальном образовании «Город Астрахань» возникает необходимость установки ограждений, для препятствия перехода пешеходов через проезжую часть в неустановленных местах. </w:t>
      </w:r>
    </w:p>
    <w:p w:rsidR="00E919BE" w:rsidRPr="00E919BE" w:rsidRDefault="00E919BE" w:rsidP="002B2BDF">
      <w:pPr>
        <w:widowControl/>
        <w:ind w:left="-15" w:firstLine="567"/>
        <w:contextualSpacing/>
        <w:jc w:val="both"/>
        <w:rPr>
          <w:rFonts w:cs="Times New Roman"/>
          <w:sz w:val="26"/>
          <w:szCs w:val="26"/>
        </w:rPr>
      </w:pPr>
      <w:r w:rsidRPr="00E919BE">
        <w:rPr>
          <w:rFonts w:cs="Times New Roman"/>
          <w:sz w:val="26"/>
          <w:szCs w:val="26"/>
        </w:rPr>
        <w:t xml:space="preserve">Таким образом, в целях решения проблемы аварийности в муниципальном образовании «Город Астрахань» необходимо использование программного метода путем реализации Подпрограммы 2, которая позволит </w:t>
      </w:r>
      <w:r w:rsidRPr="00E919BE">
        <w:rPr>
          <w:rFonts w:eastAsia="Calibri" w:cs="Times New Roman"/>
          <w:sz w:val="26"/>
          <w:szCs w:val="26"/>
        </w:rPr>
        <w:t xml:space="preserve">обеспечить </w:t>
      </w:r>
      <w:r w:rsidRPr="00E919BE">
        <w:rPr>
          <w:rFonts w:cs="Times New Roman"/>
          <w:sz w:val="26"/>
          <w:szCs w:val="26"/>
        </w:rPr>
        <w:t>снижение общего количества дорожно-транспортных происшествий, основных видов нарушений правил дорожного движения, и в результате сократить уровень смертности и травматизма населения от дорожно-транспортных происшествий.</w:t>
      </w:r>
    </w:p>
    <w:p w:rsidR="00E919BE" w:rsidRPr="00E919BE" w:rsidRDefault="00E919BE" w:rsidP="002B2BDF">
      <w:pPr>
        <w:widowControl/>
        <w:ind w:left="-15" w:firstLine="567"/>
        <w:contextualSpacing/>
        <w:jc w:val="both"/>
        <w:rPr>
          <w:rFonts w:cs="Times New Roman"/>
          <w:sz w:val="26"/>
          <w:szCs w:val="26"/>
        </w:rPr>
      </w:pPr>
      <w:r w:rsidRPr="00E919BE">
        <w:rPr>
          <w:rFonts w:cs="Times New Roman"/>
          <w:sz w:val="26"/>
          <w:szCs w:val="26"/>
        </w:rPr>
        <w:t xml:space="preserve">Основными целями и задачами Программы являются следующие факторы:  </w:t>
      </w:r>
      <w:r w:rsidRPr="00E919BE">
        <w:rPr>
          <w:rFonts w:cs="Times New Roman"/>
          <w:sz w:val="26"/>
          <w:szCs w:val="26"/>
        </w:rPr>
        <w:tab/>
      </w:r>
    </w:p>
    <w:p w:rsidR="00E919BE" w:rsidRPr="00E919BE" w:rsidRDefault="00E919BE" w:rsidP="002B2BDF">
      <w:pPr>
        <w:widowControl/>
        <w:ind w:left="-15" w:firstLine="567"/>
        <w:contextualSpacing/>
        <w:jc w:val="both"/>
        <w:rPr>
          <w:rFonts w:cs="Times New Roman"/>
          <w:sz w:val="26"/>
          <w:szCs w:val="26"/>
        </w:rPr>
      </w:pPr>
      <w:r w:rsidRPr="00E919BE">
        <w:rPr>
          <w:rFonts w:cs="Times New Roman"/>
          <w:sz w:val="26"/>
          <w:szCs w:val="26"/>
        </w:rPr>
        <w:t xml:space="preserve">-повышение уровня безопасности дорожного движения в городе Астрахани; </w:t>
      </w:r>
    </w:p>
    <w:p w:rsidR="00E919BE" w:rsidRPr="00E919BE" w:rsidRDefault="00E919BE" w:rsidP="002B2BDF">
      <w:pPr>
        <w:widowControl/>
        <w:ind w:left="-15" w:firstLine="567"/>
        <w:contextualSpacing/>
        <w:jc w:val="both"/>
        <w:rPr>
          <w:rFonts w:cs="Times New Roman"/>
          <w:sz w:val="26"/>
          <w:szCs w:val="26"/>
        </w:rPr>
      </w:pPr>
      <w:r w:rsidRPr="00E919BE">
        <w:rPr>
          <w:rFonts w:cs="Times New Roman"/>
          <w:sz w:val="26"/>
          <w:szCs w:val="26"/>
        </w:rPr>
        <w:t>-повышение пропускной способности улично-дорожной сети, повышение безопасности пешеходного движения, движения транспорта в темное время суток, движения на железнодорожных переездах, оптимизация маршрутов, повышение эстетического оформления автомобильных дорог.</w:t>
      </w:r>
    </w:p>
    <w:p w:rsidR="00E919BE" w:rsidRPr="00E919BE" w:rsidRDefault="00E919BE" w:rsidP="002B2BDF">
      <w:pPr>
        <w:widowControl/>
        <w:ind w:firstLine="567"/>
        <w:contextualSpacing/>
        <w:jc w:val="both"/>
        <w:rPr>
          <w:rFonts w:cs="Times New Roman"/>
          <w:sz w:val="26"/>
          <w:szCs w:val="26"/>
        </w:rPr>
      </w:pPr>
      <w:r w:rsidRPr="00E919BE">
        <w:rPr>
          <w:rFonts w:cs="Times New Roman"/>
          <w:sz w:val="26"/>
          <w:szCs w:val="26"/>
        </w:rPr>
        <w:tab/>
        <w:t>Также, согласно приказа Федерального агентства по техническому регулированию и метрологии, 28 февраля 2014 года были утверждены изменения в национальных стандартах ГОСТ Р 51256-2011, ГОСТ Р 52290-2004, ГОСТ Р 52289-2004, ГОСТ Р 52605-2006, ГОСТ Р 52765-2007 и ГОСТ Р 52766-2007. Вводимые изменения, в первую очередь, направлены на создание безопасных условий для движения пешеходов, в том числе детей вблизи образовательных учреждений.</w:t>
      </w:r>
    </w:p>
    <w:p w:rsidR="00E919BE" w:rsidRPr="00E919BE" w:rsidRDefault="00684107" w:rsidP="002B2BDF">
      <w:pPr>
        <w:widowControl/>
        <w:autoSpaceDN/>
        <w:ind w:firstLine="552"/>
        <w:jc w:val="both"/>
        <w:textAlignment w:val="auto"/>
        <w:rPr>
          <w:rFonts w:eastAsia="Times New Roman" w:cs="Times New Roman"/>
          <w:kern w:val="0"/>
          <w:sz w:val="26"/>
          <w:szCs w:val="26"/>
          <w:lang w:eastAsia="ar-SA" w:bidi="ar-SA"/>
        </w:rPr>
      </w:pPr>
      <w:r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Кроме того, </w:t>
      </w:r>
      <w:r w:rsidR="00E919BE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с начала 2015 года в адрес администрации </w:t>
      </w:r>
      <w:r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муниципального образования «Город Астрахань» </w:t>
      </w:r>
      <w:r w:rsidR="00E919BE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и управления </w:t>
      </w:r>
      <w:r w:rsidRPr="00E919BE">
        <w:rPr>
          <w:rFonts w:cs="Times New Roman"/>
          <w:sz w:val="26"/>
          <w:szCs w:val="26"/>
        </w:rPr>
        <w:t xml:space="preserve">по коммунальному хозяйству и </w:t>
      </w:r>
      <w:r w:rsidRPr="00E919BE">
        <w:rPr>
          <w:rFonts w:cs="Times New Roman"/>
          <w:sz w:val="26"/>
          <w:szCs w:val="26"/>
        </w:rPr>
        <w:lastRenderedPageBreak/>
        <w:t>благоустройству администрации муниципального образования «Город Астрахань»</w:t>
      </w:r>
      <w:r>
        <w:rPr>
          <w:rFonts w:cs="Times New Roman"/>
          <w:sz w:val="26"/>
          <w:szCs w:val="26"/>
        </w:rPr>
        <w:t xml:space="preserve"> </w:t>
      </w:r>
      <w:r w:rsidR="00E919BE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поступило более 400 предписаний ОГИБДД  УМВД России по г. Астрахань, более 100 предписаний ОБДПС-1 ГИБДД УМВД России по Астраханской области, с предложением организовать различные мероприятия безопасности дорожного движения (восстановить или нанести разметку, восстановить, поменять или установить дорожные знаки, установить пешеходные ограждения </w:t>
      </w:r>
      <w:proofErr w:type="spellStart"/>
      <w:r w:rsidR="00E919BE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>леерного</w:t>
      </w:r>
      <w:proofErr w:type="spellEnd"/>
      <w:r w:rsidR="00E919BE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 типа, установить светофоры Т1 или Т7, демонтировать или установить искусственные неровности, а также восстановить геометрические параметры искусственных неровностей в соответствии с ГОСТом), в соответствии с изменениями N 3 ГОСТ Р 52289-2004 "Технические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устройств" с датой введения в действие 28 февраля 2014 г.</w:t>
      </w:r>
    </w:p>
    <w:p w:rsidR="00E919BE" w:rsidRPr="00E919BE" w:rsidRDefault="00E919BE" w:rsidP="00E919BE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E919BE">
        <w:rPr>
          <w:rFonts w:ascii="Calibri" w:eastAsia="Calibri" w:hAnsi="Calibri" w:cs="Times New Roman"/>
          <w:kern w:val="0"/>
          <w:sz w:val="26"/>
          <w:szCs w:val="26"/>
          <w:lang w:eastAsia="en-US" w:bidi="ar-SA"/>
        </w:rPr>
        <w:tab/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Также, кроме ежедневно пополняемых предписаний ГИБДД в адрес </w:t>
      </w:r>
      <w:r w:rsidR="00684107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>админ</w:t>
      </w:r>
      <w:r w:rsidR="00684107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>и</w:t>
      </w:r>
      <w:r w:rsidR="00684107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страции </w:t>
      </w:r>
      <w:r w:rsidR="00684107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муниципального образования «Город Астрахань» </w:t>
      </w:r>
      <w:r w:rsidR="00684107" w:rsidRPr="00E919BE">
        <w:rPr>
          <w:rFonts w:eastAsia="Times New Roman" w:cs="Times New Roman"/>
          <w:kern w:val="0"/>
          <w:sz w:val="26"/>
          <w:szCs w:val="26"/>
          <w:lang w:eastAsia="ar-SA" w:bidi="ar-SA"/>
        </w:rPr>
        <w:t xml:space="preserve">и управления </w:t>
      </w:r>
      <w:r w:rsidR="00684107" w:rsidRPr="00E919BE">
        <w:rPr>
          <w:rFonts w:cs="Times New Roman"/>
          <w:sz w:val="26"/>
          <w:szCs w:val="26"/>
        </w:rPr>
        <w:t>по комм</w:t>
      </w:r>
      <w:r w:rsidR="00684107" w:rsidRPr="00E919BE">
        <w:rPr>
          <w:rFonts w:cs="Times New Roman"/>
          <w:sz w:val="26"/>
          <w:szCs w:val="26"/>
        </w:rPr>
        <w:t>у</w:t>
      </w:r>
      <w:r w:rsidR="00684107" w:rsidRPr="00E919BE">
        <w:rPr>
          <w:rFonts w:cs="Times New Roman"/>
          <w:sz w:val="26"/>
          <w:szCs w:val="26"/>
        </w:rPr>
        <w:t>нальному хозяйству и благоустройству администрации муниципального образов</w:t>
      </w:r>
      <w:r w:rsidR="00684107" w:rsidRPr="00E919BE">
        <w:rPr>
          <w:rFonts w:cs="Times New Roman"/>
          <w:sz w:val="26"/>
          <w:szCs w:val="26"/>
        </w:rPr>
        <w:t>а</w:t>
      </w:r>
      <w:r w:rsidR="00684107" w:rsidRPr="00E919BE">
        <w:rPr>
          <w:rFonts w:cs="Times New Roman"/>
          <w:sz w:val="26"/>
          <w:szCs w:val="26"/>
        </w:rPr>
        <w:t>ния «Город Астрахань»</w:t>
      </w:r>
      <w:r w:rsidR="00684107">
        <w:rPr>
          <w:rFonts w:cs="Times New Roman"/>
          <w:sz w:val="26"/>
          <w:szCs w:val="26"/>
        </w:rPr>
        <w:t xml:space="preserve">, 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поступают представления и протоколы ГИБДД об админ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и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стративных нарушениях, исковые заявления прокуратуры, решения различных с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у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дов г. Астрахани, постановления о возбуждении исполнительных производств, требования судебных приставов и т.д., на исполнение требований ГОСТ Р 52289-2004 "Технические средства организации дорожного движения. Правила примен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е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ния дорожных знаков, разметки, светофоров, дорожных ограждений и направля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ю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щих устройств" в соответствии с изменениями N 3 с датой введения в действие 28 февраля 2014 г. </w:t>
      </w:r>
    </w:p>
    <w:p w:rsidR="00E919BE" w:rsidRPr="00E919BE" w:rsidRDefault="00E919BE" w:rsidP="00E919BE">
      <w:pPr>
        <w:widowControl/>
        <w:suppressAutoHyphens w:val="0"/>
        <w:autoSpaceDN/>
        <w:jc w:val="both"/>
        <w:textAlignment w:val="auto"/>
        <w:rPr>
          <w:rFonts w:eastAsia="Calibri" w:cs="Times New Roman"/>
          <w:kern w:val="0"/>
          <w:sz w:val="26"/>
          <w:szCs w:val="26"/>
          <w:lang w:eastAsia="en-US" w:bidi="ar-SA"/>
        </w:rPr>
      </w:pP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 xml:space="preserve">        Поскольку количество такой документации возрастает, а выделенные бюдже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т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ные ассигнования практически освоены плановой работой по текущему ремонту дорог и организации дорожного движения, то на данный момент необходимо ув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е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личение расходов на текущее содержание дорог и организацию дорожного движ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е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ния (замена дорожных знаков в соответствии с новыми ГОСТами, разметка дорог с помощью термопластика, реконструкция и содержание светофорных объектов, п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е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шеходное (</w:t>
      </w:r>
      <w:proofErr w:type="spellStart"/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леерное</w:t>
      </w:r>
      <w:proofErr w:type="spellEnd"/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) ограждение перильного типа, освещение, устройство иску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с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ственных неровностей, установка светофорных объектов вблизи школ и других детских образо</w:t>
      </w:r>
      <w:r w:rsidR="00994272">
        <w:rPr>
          <w:rFonts w:eastAsia="Calibri" w:cs="Times New Roman"/>
          <w:kern w:val="0"/>
          <w:sz w:val="26"/>
          <w:szCs w:val="26"/>
          <w:lang w:eastAsia="en-US" w:bidi="ar-SA"/>
        </w:rPr>
        <w:t>вательных учреждений и т.д.)</w:t>
      </w:r>
      <w:r w:rsidRPr="00E919BE">
        <w:rPr>
          <w:rFonts w:eastAsia="Calibri" w:cs="Times New Roman"/>
          <w:kern w:val="0"/>
          <w:sz w:val="26"/>
          <w:szCs w:val="26"/>
          <w:lang w:eastAsia="en-US" w:bidi="ar-SA"/>
        </w:rPr>
        <w:t>.</w:t>
      </w:r>
    </w:p>
    <w:p w:rsidR="007F449E" w:rsidRPr="00774B2D" w:rsidRDefault="007F449E" w:rsidP="00D36C95">
      <w:pPr>
        <w:pStyle w:val="Standard"/>
        <w:ind w:left="-15" w:firstLine="567"/>
        <w:contextualSpacing/>
        <w:jc w:val="both"/>
        <w:rPr>
          <w:sz w:val="26"/>
          <w:szCs w:val="26"/>
        </w:rPr>
      </w:pPr>
    </w:p>
    <w:p w:rsidR="007F449E" w:rsidRPr="00774B2D" w:rsidRDefault="007F449E" w:rsidP="00D4575E">
      <w:pPr>
        <w:tabs>
          <w:tab w:val="left" w:pos="4395"/>
          <w:tab w:val="left" w:pos="4678"/>
        </w:tabs>
        <w:contextualSpacing/>
        <w:jc w:val="center"/>
        <w:rPr>
          <w:rFonts w:cs="Times New Roman"/>
          <w:b/>
          <w:sz w:val="26"/>
          <w:szCs w:val="26"/>
        </w:rPr>
      </w:pPr>
      <w:r w:rsidRPr="00774B2D">
        <w:rPr>
          <w:rFonts w:cs="Times New Roman"/>
          <w:b/>
          <w:sz w:val="26"/>
          <w:szCs w:val="26"/>
        </w:rPr>
        <w:t>3. Цели, задачи и показатели (индикаторы) достижения целей и решения задач, описание основных ожидаемых ко</w:t>
      </w:r>
      <w:r w:rsidR="00881511" w:rsidRPr="00774B2D">
        <w:rPr>
          <w:rFonts w:cs="Times New Roman"/>
          <w:b/>
          <w:sz w:val="26"/>
          <w:szCs w:val="26"/>
        </w:rPr>
        <w:t>нечных результатов П</w:t>
      </w:r>
      <w:r w:rsidR="002544E2" w:rsidRPr="00774B2D">
        <w:rPr>
          <w:rFonts w:cs="Times New Roman"/>
          <w:b/>
          <w:sz w:val="26"/>
          <w:szCs w:val="26"/>
        </w:rPr>
        <w:t>одпрограммы 2</w:t>
      </w:r>
    </w:p>
    <w:p w:rsidR="007F449E" w:rsidRPr="00774B2D" w:rsidRDefault="007F449E" w:rsidP="00D4575E">
      <w:pPr>
        <w:tabs>
          <w:tab w:val="left" w:pos="4395"/>
          <w:tab w:val="left" w:pos="4678"/>
        </w:tabs>
        <w:contextualSpacing/>
        <w:jc w:val="center"/>
        <w:rPr>
          <w:rFonts w:cs="Times New Roman"/>
          <w:b/>
          <w:sz w:val="26"/>
          <w:szCs w:val="26"/>
        </w:rPr>
      </w:pPr>
    </w:p>
    <w:p w:rsidR="002544E2" w:rsidRDefault="007F449E" w:rsidP="00674049">
      <w:pPr>
        <w:tabs>
          <w:tab w:val="left" w:pos="0"/>
        </w:tabs>
        <w:ind w:firstLine="567"/>
        <w:contextualSpacing/>
        <w:jc w:val="both"/>
        <w:rPr>
          <w:rFonts w:cs="Times New Roman"/>
          <w:sz w:val="26"/>
          <w:szCs w:val="26"/>
        </w:rPr>
      </w:pPr>
      <w:r w:rsidRPr="008F711C">
        <w:rPr>
          <w:rFonts w:cs="Times New Roman"/>
          <w:sz w:val="26"/>
          <w:szCs w:val="26"/>
        </w:rPr>
        <w:t>Основ</w:t>
      </w:r>
      <w:r w:rsidR="00946A43" w:rsidRPr="008F711C">
        <w:rPr>
          <w:rFonts w:cs="Times New Roman"/>
          <w:sz w:val="26"/>
          <w:szCs w:val="26"/>
        </w:rPr>
        <w:t xml:space="preserve">ной целью </w:t>
      </w:r>
      <w:r w:rsidR="00D4575E" w:rsidRPr="008F711C">
        <w:rPr>
          <w:rFonts w:cs="Times New Roman"/>
          <w:sz w:val="26"/>
          <w:szCs w:val="26"/>
        </w:rPr>
        <w:t>Подпрограммы</w:t>
      </w:r>
      <w:r w:rsidR="002544E2">
        <w:rPr>
          <w:rFonts w:cs="Times New Roman"/>
          <w:sz w:val="26"/>
          <w:szCs w:val="26"/>
        </w:rPr>
        <w:t xml:space="preserve"> 2</w:t>
      </w:r>
      <w:r w:rsidR="00D4575E" w:rsidRPr="008F711C">
        <w:rPr>
          <w:rFonts w:cs="Times New Roman"/>
          <w:sz w:val="26"/>
          <w:szCs w:val="26"/>
        </w:rPr>
        <w:t xml:space="preserve"> является </w:t>
      </w:r>
      <w:r w:rsidR="002544E2" w:rsidRPr="002544E2">
        <w:rPr>
          <w:rFonts w:cs="Times New Roman"/>
          <w:sz w:val="26"/>
          <w:szCs w:val="26"/>
        </w:rPr>
        <w:t>повышение уровня безопасности дорожного движения в городе Астрахани</w:t>
      </w:r>
      <w:r w:rsidR="002544E2">
        <w:rPr>
          <w:rFonts w:cs="Times New Roman"/>
          <w:sz w:val="26"/>
          <w:szCs w:val="26"/>
        </w:rPr>
        <w:t>.</w:t>
      </w:r>
    </w:p>
    <w:p w:rsidR="002544E2" w:rsidRDefault="002544E2" w:rsidP="00D20676">
      <w:pPr>
        <w:tabs>
          <w:tab w:val="left" w:pos="0"/>
        </w:tabs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Задачей Подпрограммы является</w:t>
      </w:r>
      <w:r w:rsidR="004605D0">
        <w:rPr>
          <w:rFonts w:cs="Times New Roman"/>
          <w:sz w:val="26"/>
          <w:szCs w:val="26"/>
        </w:rPr>
        <w:t xml:space="preserve"> </w:t>
      </w:r>
      <w:r w:rsidR="00D4575E" w:rsidRPr="008F711C">
        <w:rPr>
          <w:rFonts w:cs="Times New Roman"/>
          <w:sz w:val="26"/>
          <w:szCs w:val="26"/>
        </w:rPr>
        <w:t>повышение безопасно</w:t>
      </w:r>
      <w:r>
        <w:rPr>
          <w:rFonts w:cs="Times New Roman"/>
          <w:sz w:val="26"/>
          <w:szCs w:val="26"/>
        </w:rPr>
        <w:t>сти пешеходного движения.</w:t>
      </w:r>
    </w:p>
    <w:p w:rsidR="002544E2" w:rsidRDefault="00881511" w:rsidP="00D20676">
      <w:pPr>
        <w:tabs>
          <w:tab w:val="left" w:pos="4395"/>
          <w:tab w:val="left" w:pos="4678"/>
        </w:tabs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Достижение запланированных результатов Подпрограммы 2 характеризуются следующими целевыми показателями</w:t>
      </w:r>
      <w:r w:rsidR="002544E2" w:rsidRPr="002544E2">
        <w:rPr>
          <w:rFonts w:cs="Times New Roman"/>
          <w:sz w:val="26"/>
          <w:szCs w:val="26"/>
        </w:rPr>
        <w:t>:</w:t>
      </w:r>
    </w:p>
    <w:p w:rsidR="00663A98" w:rsidRPr="00663A98" w:rsidRDefault="00663A98" w:rsidP="00D20676">
      <w:pPr>
        <w:tabs>
          <w:tab w:val="left" w:pos="4395"/>
          <w:tab w:val="left" w:pos="4678"/>
        </w:tabs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983DCA">
        <w:rPr>
          <w:rFonts w:cs="Times New Roman"/>
          <w:sz w:val="26"/>
          <w:szCs w:val="26"/>
        </w:rPr>
        <w:t xml:space="preserve"> снижением</w:t>
      </w:r>
      <w:r w:rsidR="004605D0">
        <w:rPr>
          <w:rFonts w:cs="Times New Roman"/>
          <w:sz w:val="26"/>
          <w:szCs w:val="26"/>
        </w:rPr>
        <w:t xml:space="preserve"> </w:t>
      </w:r>
      <w:r w:rsidR="004B2E0A">
        <w:rPr>
          <w:rFonts w:cs="Times New Roman"/>
          <w:sz w:val="26"/>
          <w:szCs w:val="26"/>
        </w:rPr>
        <w:t>дорожно-транспортных происшествий</w:t>
      </w:r>
      <w:r w:rsidR="00D20676">
        <w:rPr>
          <w:rFonts w:cs="Times New Roman"/>
          <w:sz w:val="26"/>
          <w:szCs w:val="26"/>
        </w:rPr>
        <w:t>,</w:t>
      </w:r>
      <w:r w:rsidR="004605D0">
        <w:rPr>
          <w:rFonts w:cs="Times New Roman"/>
          <w:sz w:val="26"/>
          <w:szCs w:val="26"/>
        </w:rPr>
        <w:t xml:space="preserve"> </w:t>
      </w:r>
      <w:r w:rsidR="00D20676" w:rsidRPr="00D20676">
        <w:rPr>
          <w:rFonts w:cs="Times New Roman"/>
          <w:sz w:val="26"/>
          <w:szCs w:val="26"/>
        </w:rPr>
        <w:t xml:space="preserve">связанных с наездом на пешеходов </w:t>
      </w:r>
      <w:r w:rsidR="00914883">
        <w:rPr>
          <w:rFonts w:cs="Times New Roman"/>
          <w:sz w:val="26"/>
          <w:szCs w:val="26"/>
        </w:rPr>
        <w:t xml:space="preserve">на </w:t>
      </w:r>
      <w:r w:rsidR="0077276F">
        <w:rPr>
          <w:rFonts w:cs="Times New Roman"/>
          <w:sz w:val="26"/>
          <w:szCs w:val="26"/>
        </w:rPr>
        <w:t>7,5</w:t>
      </w:r>
      <w:r w:rsidR="00914883">
        <w:rPr>
          <w:rFonts w:cs="Times New Roman"/>
          <w:sz w:val="26"/>
          <w:szCs w:val="26"/>
        </w:rPr>
        <w:t>% (ежегодно)</w:t>
      </w:r>
      <w:r w:rsidRPr="00663A98">
        <w:rPr>
          <w:rFonts w:cs="Times New Roman"/>
          <w:sz w:val="26"/>
          <w:szCs w:val="26"/>
        </w:rPr>
        <w:t>;</w:t>
      </w:r>
    </w:p>
    <w:p w:rsidR="00663A98" w:rsidRDefault="004B2E0A" w:rsidP="00D20676">
      <w:pPr>
        <w:tabs>
          <w:tab w:val="left" w:pos="4395"/>
          <w:tab w:val="left" w:pos="4678"/>
        </w:tabs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- </w:t>
      </w:r>
      <w:r w:rsidR="00983DCA">
        <w:rPr>
          <w:rFonts w:cs="Times New Roman"/>
          <w:sz w:val="26"/>
          <w:szCs w:val="26"/>
        </w:rPr>
        <w:t>увеличением</w:t>
      </w:r>
      <w:r w:rsidR="00881511">
        <w:rPr>
          <w:rFonts w:cs="Times New Roman"/>
          <w:sz w:val="26"/>
          <w:szCs w:val="26"/>
        </w:rPr>
        <w:t xml:space="preserve"> протяженности</w:t>
      </w:r>
      <w:r w:rsidR="00663A98" w:rsidRPr="00663A98">
        <w:rPr>
          <w:rFonts w:cs="Times New Roman"/>
          <w:sz w:val="26"/>
          <w:szCs w:val="26"/>
        </w:rPr>
        <w:t xml:space="preserve"> дорог с установленными дорожными ограждениями</w:t>
      </w:r>
      <w:r w:rsidR="008979EC">
        <w:rPr>
          <w:rFonts w:cs="Times New Roman"/>
          <w:sz w:val="26"/>
          <w:szCs w:val="26"/>
        </w:rPr>
        <w:t xml:space="preserve"> до </w:t>
      </w:r>
      <w:r w:rsidR="00587201">
        <w:rPr>
          <w:rFonts w:cs="Times New Roman"/>
          <w:sz w:val="26"/>
          <w:szCs w:val="26"/>
        </w:rPr>
        <w:t>31</w:t>
      </w:r>
      <w:r w:rsidR="00881511">
        <w:rPr>
          <w:rFonts w:cs="Times New Roman"/>
          <w:sz w:val="26"/>
          <w:szCs w:val="26"/>
        </w:rPr>
        <w:t xml:space="preserve"> км</w:t>
      </w:r>
      <w:r w:rsidR="00663A98">
        <w:rPr>
          <w:rFonts w:cs="Times New Roman"/>
          <w:sz w:val="26"/>
          <w:szCs w:val="26"/>
        </w:rPr>
        <w:t>.</w:t>
      </w:r>
    </w:p>
    <w:p w:rsidR="00AD063D" w:rsidRDefault="00446083" w:rsidP="002B2BDF">
      <w:pPr>
        <w:tabs>
          <w:tab w:val="left" w:pos="4395"/>
          <w:tab w:val="left" w:pos="4678"/>
        </w:tabs>
        <w:ind w:firstLine="567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Полный перечень показател</w:t>
      </w:r>
      <w:r w:rsidR="00636C28">
        <w:rPr>
          <w:rFonts w:cs="Times New Roman"/>
          <w:sz w:val="26"/>
          <w:szCs w:val="26"/>
        </w:rPr>
        <w:t>ей (индикаторов) представлен в приложении к</w:t>
      </w:r>
      <w:r>
        <w:rPr>
          <w:rFonts w:cs="Times New Roman"/>
          <w:sz w:val="26"/>
          <w:szCs w:val="26"/>
        </w:rPr>
        <w:t xml:space="preserve"> муниципальной программе.</w:t>
      </w:r>
    </w:p>
    <w:p w:rsidR="00D20676" w:rsidRPr="00774B2D" w:rsidRDefault="00D20676" w:rsidP="00D20676">
      <w:pPr>
        <w:tabs>
          <w:tab w:val="left" w:pos="4395"/>
          <w:tab w:val="left" w:pos="4678"/>
        </w:tabs>
        <w:contextualSpacing/>
        <w:jc w:val="both"/>
        <w:rPr>
          <w:rFonts w:cs="Times New Roman"/>
          <w:sz w:val="26"/>
          <w:szCs w:val="26"/>
        </w:rPr>
      </w:pPr>
    </w:p>
    <w:p w:rsidR="007F449E" w:rsidRPr="00774B2D" w:rsidRDefault="008F711C" w:rsidP="00D4575E">
      <w:pPr>
        <w:tabs>
          <w:tab w:val="left" w:pos="4395"/>
          <w:tab w:val="left" w:pos="4678"/>
        </w:tabs>
        <w:contextualSpacing/>
        <w:jc w:val="center"/>
        <w:rPr>
          <w:rFonts w:cs="Times New Roman"/>
          <w:b/>
          <w:sz w:val="26"/>
          <w:szCs w:val="26"/>
        </w:rPr>
      </w:pPr>
      <w:r w:rsidRPr="00774B2D">
        <w:rPr>
          <w:rFonts w:cs="Times New Roman"/>
          <w:b/>
          <w:sz w:val="26"/>
          <w:szCs w:val="26"/>
        </w:rPr>
        <w:t>4</w:t>
      </w:r>
      <w:r w:rsidR="00446083" w:rsidRPr="00774B2D">
        <w:rPr>
          <w:rFonts w:cs="Times New Roman"/>
          <w:b/>
          <w:sz w:val="26"/>
          <w:szCs w:val="26"/>
        </w:rPr>
        <w:t xml:space="preserve">. </w:t>
      </w:r>
      <w:r w:rsidR="007F449E" w:rsidRPr="00774B2D">
        <w:rPr>
          <w:rFonts w:cs="Times New Roman"/>
          <w:b/>
          <w:sz w:val="26"/>
          <w:szCs w:val="26"/>
        </w:rPr>
        <w:t>Обоснование объема финансовых ресурсов, необходи</w:t>
      </w:r>
      <w:r w:rsidR="00446083" w:rsidRPr="00774B2D">
        <w:rPr>
          <w:rFonts w:cs="Times New Roman"/>
          <w:b/>
          <w:sz w:val="26"/>
          <w:szCs w:val="26"/>
        </w:rPr>
        <w:t>мы</w:t>
      </w:r>
      <w:r w:rsidR="00881511" w:rsidRPr="00774B2D">
        <w:rPr>
          <w:rFonts w:cs="Times New Roman"/>
          <w:b/>
          <w:sz w:val="26"/>
          <w:szCs w:val="26"/>
        </w:rPr>
        <w:t>х для реализации П</w:t>
      </w:r>
      <w:r w:rsidR="00446083" w:rsidRPr="00774B2D">
        <w:rPr>
          <w:rFonts w:cs="Times New Roman"/>
          <w:b/>
          <w:sz w:val="26"/>
          <w:szCs w:val="26"/>
        </w:rPr>
        <w:t>одпрограммы 2</w:t>
      </w:r>
    </w:p>
    <w:p w:rsidR="00AE4611" w:rsidRPr="00774B2D" w:rsidRDefault="00AE4611" w:rsidP="00663A98">
      <w:pPr>
        <w:pStyle w:val="a8"/>
        <w:contextualSpacing/>
        <w:rPr>
          <w:rFonts w:cs="Times New Roman"/>
          <w:sz w:val="26"/>
          <w:szCs w:val="26"/>
        </w:rPr>
      </w:pPr>
    </w:p>
    <w:p w:rsidR="00D4575E" w:rsidRPr="008F711C" w:rsidRDefault="00D4575E" w:rsidP="00D4575E">
      <w:pPr>
        <w:pStyle w:val="Standard"/>
        <w:ind w:firstLine="708"/>
        <w:jc w:val="both"/>
        <w:rPr>
          <w:rFonts w:cs="Times New Roman"/>
          <w:sz w:val="26"/>
          <w:szCs w:val="26"/>
        </w:rPr>
      </w:pPr>
      <w:r w:rsidRPr="00774B2D">
        <w:rPr>
          <w:rFonts w:cs="Times New Roman"/>
          <w:sz w:val="26"/>
          <w:szCs w:val="26"/>
        </w:rPr>
        <w:t>Затраты на реализацию П</w:t>
      </w:r>
      <w:r w:rsidR="00662E1F" w:rsidRPr="00774B2D">
        <w:rPr>
          <w:rFonts w:cs="Times New Roman"/>
          <w:sz w:val="26"/>
          <w:szCs w:val="26"/>
        </w:rPr>
        <w:t>одп</w:t>
      </w:r>
      <w:r w:rsidRPr="00774B2D">
        <w:rPr>
          <w:rFonts w:cs="Times New Roman"/>
          <w:sz w:val="26"/>
          <w:szCs w:val="26"/>
        </w:rPr>
        <w:t>рограммы</w:t>
      </w:r>
      <w:r w:rsidR="00881511" w:rsidRPr="00774B2D">
        <w:rPr>
          <w:rFonts w:cs="Times New Roman"/>
          <w:sz w:val="26"/>
          <w:szCs w:val="26"/>
        </w:rPr>
        <w:t xml:space="preserve"> 2</w:t>
      </w:r>
      <w:r w:rsidRPr="00774B2D">
        <w:rPr>
          <w:rFonts w:cs="Times New Roman"/>
          <w:sz w:val="26"/>
          <w:szCs w:val="26"/>
        </w:rPr>
        <w:t xml:space="preserve"> складываются из стоимости</w:t>
      </w:r>
      <w:r w:rsidRPr="008F711C">
        <w:rPr>
          <w:rFonts w:cs="Times New Roman"/>
          <w:sz w:val="26"/>
          <w:szCs w:val="26"/>
        </w:rPr>
        <w:t xml:space="preserve"> материалов и строительных работ. Стоимость работ и затрат принята по укрупненным показателям и подлежат уточнению в установленном порядке.</w:t>
      </w:r>
    </w:p>
    <w:p w:rsidR="00D4575E" w:rsidRDefault="00D4575E" w:rsidP="00D4575E">
      <w:pPr>
        <w:pStyle w:val="Standard"/>
        <w:ind w:firstLine="708"/>
        <w:jc w:val="both"/>
        <w:rPr>
          <w:rFonts w:cs="Times New Roman"/>
          <w:sz w:val="26"/>
          <w:szCs w:val="26"/>
        </w:rPr>
      </w:pPr>
      <w:r w:rsidRPr="008F711C">
        <w:rPr>
          <w:rFonts w:cs="Times New Roman"/>
          <w:sz w:val="26"/>
          <w:szCs w:val="26"/>
        </w:rPr>
        <w:t>Объем финансирования П</w:t>
      </w:r>
      <w:r w:rsidR="00662E1F" w:rsidRPr="008F711C">
        <w:rPr>
          <w:rFonts w:cs="Times New Roman"/>
          <w:sz w:val="26"/>
          <w:szCs w:val="26"/>
        </w:rPr>
        <w:t>одп</w:t>
      </w:r>
      <w:r w:rsidRPr="008F711C">
        <w:rPr>
          <w:rFonts w:cs="Times New Roman"/>
          <w:sz w:val="26"/>
          <w:szCs w:val="26"/>
        </w:rPr>
        <w:t>рограммы</w:t>
      </w:r>
      <w:r w:rsidR="00881511">
        <w:rPr>
          <w:rFonts w:cs="Times New Roman"/>
          <w:sz w:val="26"/>
          <w:szCs w:val="26"/>
        </w:rPr>
        <w:t xml:space="preserve"> 2</w:t>
      </w:r>
      <w:r w:rsidRPr="008F711C">
        <w:rPr>
          <w:rFonts w:cs="Times New Roman"/>
          <w:sz w:val="26"/>
          <w:szCs w:val="26"/>
        </w:rPr>
        <w:t xml:space="preserve"> на 201</w:t>
      </w:r>
      <w:r w:rsidR="00684107">
        <w:rPr>
          <w:rFonts w:cs="Times New Roman"/>
          <w:sz w:val="26"/>
          <w:szCs w:val="26"/>
        </w:rPr>
        <w:t>6-2020</w:t>
      </w:r>
      <w:r w:rsidR="00662E1F" w:rsidRPr="008F711C">
        <w:rPr>
          <w:rFonts w:cs="Times New Roman"/>
          <w:sz w:val="26"/>
          <w:szCs w:val="26"/>
        </w:rPr>
        <w:t xml:space="preserve"> гг. </w:t>
      </w:r>
      <w:r w:rsidRPr="008F711C">
        <w:rPr>
          <w:rFonts w:cs="Times New Roman"/>
          <w:sz w:val="26"/>
          <w:szCs w:val="26"/>
        </w:rPr>
        <w:t xml:space="preserve">складывается за счет средств бюджета </w:t>
      </w:r>
      <w:r w:rsidR="004B2E0A">
        <w:rPr>
          <w:rFonts w:cs="Times New Roman"/>
          <w:sz w:val="26"/>
          <w:szCs w:val="26"/>
        </w:rPr>
        <w:t>муниципального образования</w:t>
      </w:r>
      <w:r w:rsidRPr="008F711C">
        <w:rPr>
          <w:rFonts w:cs="Times New Roman"/>
          <w:sz w:val="26"/>
          <w:szCs w:val="26"/>
        </w:rPr>
        <w:t xml:space="preserve"> «Город Астрахань» (табл. 1).</w:t>
      </w:r>
    </w:p>
    <w:p w:rsidR="007030C1" w:rsidRDefault="007030C1" w:rsidP="00663A98">
      <w:pPr>
        <w:pStyle w:val="Standard"/>
        <w:ind w:firstLine="708"/>
        <w:jc w:val="right"/>
        <w:rPr>
          <w:rFonts w:cs="Times New Roman"/>
          <w:sz w:val="26"/>
          <w:szCs w:val="26"/>
        </w:rPr>
      </w:pPr>
    </w:p>
    <w:p w:rsidR="00AE4611" w:rsidRPr="008F711C" w:rsidRDefault="00705212" w:rsidP="00663A98">
      <w:pPr>
        <w:pStyle w:val="Standard"/>
        <w:ind w:firstLine="708"/>
        <w:jc w:val="right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Таблица 1.</w:t>
      </w:r>
    </w:p>
    <w:tbl>
      <w:tblPr>
        <w:tblW w:w="100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481"/>
        <w:gridCol w:w="1354"/>
        <w:gridCol w:w="1417"/>
        <w:gridCol w:w="1418"/>
        <w:gridCol w:w="1417"/>
        <w:gridCol w:w="1279"/>
      </w:tblGrid>
      <w:tr w:rsidR="00F4667E" w:rsidTr="00587201">
        <w:trPr>
          <w:trHeight w:val="390"/>
        </w:trPr>
        <w:tc>
          <w:tcPr>
            <w:tcW w:w="1702" w:type="dxa"/>
          </w:tcPr>
          <w:p w:rsidR="00F4667E" w:rsidRPr="00F4667E" w:rsidRDefault="00F4667E" w:rsidP="00414B69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4667E">
              <w:rPr>
                <w:b/>
                <w:sz w:val="22"/>
                <w:szCs w:val="22"/>
                <w:lang w:eastAsia="ru-RU"/>
              </w:rPr>
              <w:t>Источники финансирования</w:t>
            </w:r>
          </w:p>
        </w:tc>
        <w:tc>
          <w:tcPr>
            <w:tcW w:w="1481" w:type="dxa"/>
          </w:tcPr>
          <w:p w:rsidR="00F4667E" w:rsidRPr="00F4667E" w:rsidRDefault="00F4667E" w:rsidP="00F4667E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4667E">
              <w:rPr>
                <w:b/>
                <w:sz w:val="22"/>
                <w:szCs w:val="22"/>
                <w:lang w:eastAsia="ru-RU"/>
              </w:rPr>
              <w:t xml:space="preserve">Всего за </w:t>
            </w:r>
            <w:r w:rsidRPr="00F4667E">
              <w:rPr>
                <w:b/>
                <w:sz w:val="22"/>
                <w:szCs w:val="22"/>
                <w:lang w:eastAsia="ru-RU"/>
              </w:rPr>
              <w:br/>
              <w:t>2016-2020 гг.</w:t>
            </w:r>
          </w:p>
        </w:tc>
        <w:tc>
          <w:tcPr>
            <w:tcW w:w="1354" w:type="dxa"/>
          </w:tcPr>
          <w:p w:rsidR="00F4667E" w:rsidRPr="00F4667E" w:rsidRDefault="00F4667E" w:rsidP="00705212">
            <w:pPr>
              <w:pStyle w:val="Standard"/>
              <w:widowControl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4667E">
              <w:rPr>
                <w:b/>
                <w:sz w:val="22"/>
                <w:szCs w:val="22"/>
                <w:lang w:eastAsia="ru-RU"/>
              </w:rPr>
              <w:t>2016 год</w:t>
            </w:r>
          </w:p>
          <w:p w:rsidR="00F4667E" w:rsidRPr="00F4667E" w:rsidRDefault="00F4667E" w:rsidP="00414B69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667E" w:rsidRPr="00F4667E" w:rsidRDefault="00F4667E" w:rsidP="00F4667E">
            <w:pPr>
              <w:suppressAutoHyphens w:val="0"/>
              <w:ind w:right="-250"/>
              <w:jc w:val="center"/>
              <w:rPr>
                <w:b/>
                <w:sz w:val="22"/>
                <w:szCs w:val="22"/>
                <w:lang w:eastAsia="ru-RU"/>
              </w:rPr>
            </w:pPr>
            <w:r w:rsidRPr="00F4667E">
              <w:rPr>
                <w:b/>
                <w:sz w:val="22"/>
                <w:szCs w:val="22"/>
                <w:lang w:eastAsia="ru-RU"/>
              </w:rPr>
              <w:t>2017 год</w:t>
            </w:r>
          </w:p>
        </w:tc>
        <w:tc>
          <w:tcPr>
            <w:tcW w:w="1418" w:type="dxa"/>
          </w:tcPr>
          <w:p w:rsidR="00F4667E" w:rsidRPr="00F4667E" w:rsidRDefault="00F4667E" w:rsidP="007052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4667E">
              <w:rPr>
                <w:b/>
                <w:sz w:val="22"/>
                <w:szCs w:val="22"/>
                <w:lang w:eastAsia="ru-RU"/>
              </w:rPr>
              <w:t>2018 год</w:t>
            </w:r>
          </w:p>
          <w:p w:rsidR="00F4667E" w:rsidRPr="00F4667E" w:rsidRDefault="00F4667E" w:rsidP="00F4667E">
            <w:pPr>
              <w:pStyle w:val="Standard"/>
              <w:ind w:right="-186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F4667E" w:rsidRPr="00F4667E" w:rsidRDefault="00F4667E" w:rsidP="00705212">
            <w:pPr>
              <w:suppressAutoHyphens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F4667E">
              <w:rPr>
                <w:b/>
                <w:sz w:val="22"/>
                <w:szCs w:val="22"/>
                <w:lang w:eastAsia="ru-RU"/>
              </w:rPr>
              <w:t>2019 год</w:t>
            </w:r>
          </w:p>
        </w:tc>
        <w:tc>
          <w:tcPr>
            <w:tcW w:w="1279" w:type="dxa"/>
          </w:tcPr>
          <w:p w:rsidR="00F4667E" w:rsidRPr="00F4667E" w:rsidRDefault="00F4667E" w:rsidP="00144EB8">
            <w:pPr>
              <w:rPr>
                <w:b/>
                <w:sz w:val="22"/>
                <w:szCs w:val="22"/>
                <w:lang w:eastAsia="ru-RU"/>
              </w:rPr>
            </w:pPr>
            <w:r w:rsidRPr="00F4667E">
              <w:rPr>
                <w:b/>
                <w:sz w:val="22"/>
                <w:szCs w:val="22"/>
                <w:lang w:eastAsia="ru-RU"/>
              </w:rPr>
              <w:t>2020 год</w:t>
            </w:r>
          </w:p>
        </w:tc>
      </w:tr>
      <w:tr w:rsidR="00587201" w:rsidTr="001E0A58">
        <w:trPr>
          <w:trHeight w:val="465"/>
        </w:trPr>
        <w:tc>
          <w:tcPr>
            <w:tcW w:w="1702" w:type="dxa"/>
          </w:tcPr>
          <w:p w:rsidR="00587201" w:rsidRPr="00F4667E" w:rsidRDefault="00587201" w:rsidP="00414B69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4667E">
              <w:rPr>
                <w:rFonts w:cs="Times New Roman"/>
                <w:sz w:val="22"/>
                <w:szCs w:val="22"/>
              </w:rPr>
              <w:t>Всего по Подпрограмме 2,  руб., в том числе:</w:t>
            </w:r>
          </w:p>
        </w:tc>
        <w:tc>
          <w:tcPr>
            <w:tcW w:w="1481" w:type="dxa"/>
            <w:vAlign w:val="center"/>
          </w:tcPr>
          <w:p w:rsidR="00587201" w:rsidRPr="00F4667E" w:rsidRDefault="00587201" w:rsidP="001E0A58">
            <w:pPr>
              <w:pStyle w:val="Standard"/>
              <w:ind w:left="-6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1E0A58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="001E0A58">
              <w:rPr>
                <w:rFonts w:cs="Times New Roman"/>
                <w:sz w:val="22"/>
                <w:szCs w:val="22"/>
              </w:rPr>
              <w:t>725 129,02</w:t>
            </w:r>
          </w:p>
        </w:tc>
        <w:tc>
          <w:tcPr>
            <w:tcW w:w="1354" w:type="dxa"/>
            <w:vAlign w:val="center"/>
          </w:tcPr>
          <w:p w:rsidR="00587201" w:rsidRPr="00F4667E" w:rsidRDefault="00587201" w:rsidP="001E0A58">
            <w:pPr>
              <w:pStyle w:val="Standard"/>
              <w:ind w:left="-89"/>
              <w:jc w:val="center"/>
              <w:rPr>
                <w:rFonts w:cs="Times New Roman"/>
                <w:sz w:val="22"/>
                <w:szCs w:val="22"/>
              </w:rPr>
            </w:pPr>
            <w:r w:rsidRPr="00F4667E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F4667E">
              <w:rPr>
                <w:rFonts w:cs="Times New Roman"/>
                <w:sz w:val="22"/>
                <w:szCs w:val="22"/>
              </w:rPr>
              <w:t>897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F4667E">
              <w:rPr>
                <w:rFonts w:cs="Times New Roman"/>
                <w:sz w:val="22"/>
                <w:szCs w:val="22"/>
              </w:rPr>
              <w:t>477,24</w:t>
            </w:r>
          </w:p>
        </w:tc>
        <w:tc>
          <w:tcPr>
            <w:tcW w:w="1417" w:type="dxa"/>
            <w:vAlign w:val="center"/>
          </w:tcPr>
          <w:p w:rsidR="00587201" w:rsidRPr="00F4667E" w:rsidRDefault="00587201" w:rsidP="001E0A58">
            <w:pPr>
              <w:pStyle w:val="Standard"/>
              <w:ind w:left="-121" w:right="-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6 841 762,40</w:t>
            </w:r>
          </w:p>
        </w:tc>
        <w:tc>
          <w:tcPr>
            <w:tcW w:w="1418" w:type="dxa"/>
            <w:vAlign w:val="center"/>
          </w:tcPr>
          <w:p w:rsidR="00587201" w:rsidRPr="00F4667E" w:rsidRDefault="00684107" w:rsidP="001E0A58">
            <w:pPr>
              <w:pStyle w:val="Standard"/>
              <w:ind w:left="-12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7 485 889,38</w:t>
            </w:r>
          </w:p>
        </w:tc>
        <w:tc>
          <w:tcPr>
            <w:tcW w:w="1417" w:type="dxa"/>
            <w:vAlign w:val="center"/>
          </w:tcPr>
          <w:p w:rsidR="00587201" w:rsidRPr="00F4667E" w:rsidRDefault="001E0A58" w:rsidP="001E0A58">
            <w:pPr>
              <w:pStyle w:val="Standard"/>
              <w:ind w:left="-12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7 500 00</w:t>
            </w:r>
            <w:r w:rsidR="00587201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1279" w:type="dxa"/>
            <w:vAlign w:val="center"/>
          </w:tcPr>
          <w:p w:rsidR="00587201" w:rsidRDefault="00587201" w:rsidP="001E0A58">
            <w:pPr>
              <w:jc w:val="center"/>
            </w:pPr>
            <w:r w:rsidRPr="00CB6C34">
              <w:rPr>
                <w:rFonts w:cs="Times New Roman"/>
                <w:sz w:val="22"/>
                <w:szCs w:val="22"/>
              </w:rPr>
              <w:t>0,00</w:t>
            </w:r>
          </w:p>
        </w:tc>
      </w:tr>
      <w:tr w:rsidR="00587201" w:rsidTr="001E0A58">
        <w:trPr>
          <w:trHeight w:val="225"/>
        </w:trPr>
        <w:tc>
          <w:tcPr>
            <w:tcW w:w="1702" w:type="dxa"/>
          </w:tcPr>
          <w:p w:rsidR="00587201" w:rsidRPr="00F4667E" w:rsidRDefault="00587201" w:rsidP="00F4667E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F4667E">
              <w:rPr>
                <w:rFonts w:cs="Times New Roman"/>
                <w:sz w:val="22"/>
                <w:szCs w:val="22"/>
              </w:rPr>
              <w:t>Бюджет МО "Город Астрахань", руб.</w:t>
            </w:r>
          </w:p>
        </w:tc>
        <w:tc>
          <w:tcPr>
            <w:tcW w:w="1481" w:type="dxa"/>
            <w:vAlign w:val="center"/>
          </w:tcPr>
          <w:p w:rsidR="00587201" w:rsidRPr="00F4667E" w:rsidRDefault="00587201" w:rsidP="001E0A58">
            <w:pPr>
              <w:pStyle w:val="Standard"/>
              <w:ind w:left="-6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1E0A58">
              <w:rPr>
                <w:rFonts w:cs="Times New Roman"/>
                <w:sz w:val="22"/>
                <w:szCs w:val="22"/>
              </w:rPr>
              <w:t>8</w:t>
            </w:r>
            <w:r>
              <w:rPr>
                <w:rFonts w:cs="Times New Roman"/>
                <w:sz w:val="22"/>
                <w:szCs w:val="22"/>
              </w:rPr>
              <w:t> 7</w:t>
            </w:r>
            <w:r w:rsidR="001E0A58">
              <w:rPr>
                <w:rFonts w:cs="Times New Roman"/>
                <w:sz w:val="22"/>
                <w:szCs w:val="22"/>
              </w:rPr>
              <w:t>25 129,02</w:t>
            </w:r>
          </w:p>
        </w:tc>
        <w:tc>
          <w:tcPr>
            <w:tcW w:w="1354" w:type="dxa"/>
            <w:vAlign w:val="center"/>
          </w:tcPr>
          <w:p w:rsidR="00587201" w:rsidRPr="00F4667E" w:rsidRDefault="00587201" w:rsidP="001E0A58">
            <w:pPr>
              <w:pStyle w:val="Standard"/>
              <w:ind w:left="-89"/>
              <w:jc w:val="center"/>
              <w:rPr>
                <w:rFonts w:cs="Times New Roman"/>
                <w:sz w:val="22"/>
                <w:szCs w:val="22"/>
              </w:rPr>
            </w:pPr>
            <w:r w:rsidRPr="00F4667E">
              <w:rPr>
                <w:rFonts w:cs="Times New Roman"/>
                <w:sz w:val="22"/>
                <w:szCs w:val="22"/>
              </w:rPr>
              <w:t>6</w:t>
            </w:r>
            <w:r>
              <w:rPr>
                <w:rFonts w:cs="Times New Roman"/>
                <w:sz w:val="22"/>
                <w:szCs w:val="22"/>
              </w:rPr>
              <w:t> </w:t>
            </w:r>
            <w:r w:rsidRPr="00F4667E">
              <w:rPr>
                <w:rFonts w:cs="Times New Roman"/>
                <w:sz w:val="22"/>
                <w:szCs w:val="22"/>
              </w:rPr>
              <w:t>897</w:t>
            </w:r>
            <w:r>
              <w:rPr>
                <w:rFonts w:cs="Times New Roman"/>
                <w:sz w:val="22"/>
                <w:szCs w:val="22"/>
              </w:rPr>
              <w:t xml:space="preserve"> </w:t>
            </w:r>
            <w:r w:rsidRPr="00F4667E">
              <w:rPr>
                <w:rFonts w:cs="Times New Roman"/>
                <w:sz w:val="22"/>
                <w:szCs w:val="22"/>
              </w:rPr>
              <w:t>477,24</w:t>
            </w:r>
          </w:p>
        </w:tc>
        <w:tc>
          <w:tcPr>
            <w:tcW w:w="1417" w:type="dxa"/>
            <w:vAlign w:val="center"/>
          </w:tcPr>
          <w:p w:rsidR="00587201" w:rsidRPr="00F4667E" w:rsidRDefault="00587201" w:rsidP="001E0A58">
            <w:pPr>
              <w:pStyle w:val="Standard"/>
              <w:ind w:left="-121" w:right="-108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6 841 762,40</w:t>
            </w:r>
          </w:p>
        </w:tc>
        <w:tc>
          <w:tcPr>
            <w:tcW w:w="1418" w:type="dxa"/>
            <w:vAlign w:val="center"/>
          </w:tcPr>
          <w:p w:rsidR="00587201" w:rsidRPr="00F4667E" w:rsidRDefault="001E0A58" w:rsidP="001E0A58">
            <w:pPr>
              <w:pStyle w:val="Standard"/>
              <w:ind w:left="-12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7 485 889,38</w:t>
            </w:r>
          </w:p>
        </w:tc>
        <w:tc>
          <w:tcPr>
            <w:tcW w:w="1417" w:type="dxa"/>
            <w:vAlign w:val="center"/>
          </w:tcPr>
          <w:p w:rsidR="00587201" w:rsidRPr="00F4667E" w:rsidRDefault="001E0A58" w:rsidP="001E0A58">
            <w:pPr>
              <w:pStyle w:val="Standard"/>
              <w:ind w:left="-121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7 500 00</w:t>
            </w:r>
            <w:r w:rsidR="00587201">
              <w:rPr>
                <w:rFonts w:cs="Times New Roman"/>
                <w:sz w:val="22"/>
                <w:szCs w:val="22"/>
              </w:rPr>
              <w:t>0,00</w:t>
            </w:r>
          </w:p>
        </w:tc>
        <w:tc>
          <w:tcPr>
            <w:tcW w:w="1279" w:type="dxa"/>
            <w:vAlign w:val="center"/>
          </w:tcPr>
          <w:p w:rsidR="00587201" w:rsidRDefault="00587201" w:rsidP="001E0A58">
            <w:pPr>
              <w:jc w:val="center"/>
            </w:pPr>
            <w:r w:rsidRPr="00CB6C34">
              <w:rPr>
                <w:rFonts w:cs="Times New Roman"/>
                <w:sz w:val="22"/>
                <w:szCs w:val="22"/>
              </w:rPr>
              <w:t>0,00</w:t>
            </w:r>
          </w:p>
        </w:tc>
      </w:tr>
    </w:tbl>
    <w:p w:rsidR="00D4575E" w:rsidRDefault="00D4575E" w:rsidP="00946A43">
      <w:pPr>
        <w:pStyle w:val="Standard"/>
        <w:jc w:val="both"/>
        <w:rPr>
          <w:rFonts w:cs="Times New Roman"/>
        </w:rPr>
      </w:pPr>
    </w:p>
    <w:p w:rsidR="00446083" w:rsidRPr="00446083" w:rsidRDefault="00446083" w:rsidP="00CA56DE">
      <w:pPr>
        <w:pStyle w:val="Standard"/>
        <w:ind w:firstLine="567"/>
        <w:jc w:val="both"/>
        <w:rPr>
          <w:rFonts w:cs="Times New Roman"/>
          <w:sz w:val="26"/>
          <w:szCs w:val="26"/>
        </w:rPr>
      </w:pPr>
      <w:r w:rsidRPr="00446083">
        <w:rPr>
          <w:rFonts w:cs="Times New Roman"/>
          <w:sz w:val="26"/>
          <w:szCs w:val="26"/>
        </w:rPr>
        <w:t>Объемы финансирования за счет средств бюджета муниципального образования «Город Астрахань» подлежат уточнению исходя из возможностей</w:t>
      </w:r>
      <w:r w:rsidR="00192ED1">
        <w:rPr>
          <w:rFonts w:cs="Times New Roman"/>
          <w:sz w:val="26"/>
          <w:szCs w:val="26"/>
        </w:rPr>
        <w:t xml:space="preserve"> </w:t>
      </w:r>
      <w:r w:rsidR="00636C28">
        <w:rPr>
          <w:rFonts w:cs="Times New Roman"/>
          <w:sz w:val="26"/>
          <w:szCs w:val="26"/>
        </w:rPr>
        <w:t xml:space="preserve">соответствующего </w:t>
      </w:r>
      <w:r w:rsidR="00636C28" w:rsidRPr="00446083">
        <w:rPr>
          <w:rFonts w:cs="Times New Roman"/>
          <w:sz w:val="26"/>
          <w:szCs w:val="26"/>
        </w:rPr>
        <w:t>бюджета</w:t>
      </w:r>
      <w:r w:rsidRPr="00446083">
        <w:rPr>
          <w:rFonts w:cs="Times New Roman"/>
          <w:sz w:val="26"/>
          <w:szCs w:val="26"/>
        </w:rPr>
        <w:t xml:space="preserve"> с корректировкой программных мероприятий, результатов их реализации и оценки эффективности. </w:t>
      </w:r>
    </w:p>
    <w:p w:rsidR="00446083" w:rsidRPr="00446083" w:rsidRDefault="00446083" w:rsidP="00881511">
      <w:pPr>
        <w:pStyle w:val="Standard"/>
        <w:jc w:val="both"/>
        <w:rPr>
          <w:rFonts w:cs="Times New Roman"/>
          <w:sz w:val="26"/>
          <w:szCs w:val="26"/>
        </w:rPr>
      </w:pPr>
      <w:r w:rsidRPr="00446083">
        <w:rPr>
          <w:rFonts w:cs="Times New Roman"/>
          <w:sz w:val="26"/>
          <w:szCs w:val="26"/>
        </w:rPr>
        <w:t xml:space="preserve">      Финансовое обеспечение Подпрограммы</w:t>
      </w:r>
      <w:r w:rsidR="00881511">
        <w:rPr>
          <w:rFonts w:cs="Times New Roman"/>
          <w:sz w:val="26"/>
          <w:szCs w:val="26"/>
        </w:rPr>
        <w:t xml:space="preserve"> 2</w:t>
      </w:r>
      <w:r w:rsidRPr="00446083">
        <w:rPr>
          <w:rFonts w:cs="Times New Roman"/>
          <w:sz w:val="26"/>
          <w:szCs w:val="26"/>
        </w:rPr>
        <w:t xml:space="preserve"> с распределением расходов по годам, источни</w:t>
      </w:r>
      <w:r w:rsidR="00636C28">
        <w:rPr>
          <w:rFonts w:cs="Times New Roman"/>
          <w:sz w:val="26"/>
          <w:szCs w:val="26"/>
        </w:rPr>
        <w:t xml:space="preserve">кам финансирования приведено в приложении </w:t>
      </w:r>
      <w:r w:rsidR="00E27116">
        <w:rPr>
          <w:rFonts w:cs="Times New Roman"/>
          <w:sz w:val="26"/>
          <w:szCs w:val="26"/>
        </w:rPr>
        <w:t xml:space="preserve">2 </w:t>
      </w:r>
      <w:r w:rsidR="00636C28">
        <w:rPr>
          <w:rFonts w:cs="Times New Roman"/>
          <w:sz w:val="26"/>
          <w:szCs w:val="26"/>
        </w:rPr>
        <w:t>к</w:t>
      </w:r>
      <w:r w:rsidR="00881511">
        <w:rPr>
          <w:rFonts w:cs="Times New Roman"/>
          <w:sz w:val="26"/>
          <w:szCs w:val="26"/>
        </w:rPr>
        <w:t xml:space="preserve"> </w:t>
      </w:r>
      <w:r w:rsidR="00E27116">
        <w:rPr>
          <w:rFonts w:cs="Times New Roman"/>
          <w:sz w:val="26"/>
          <w:szCs w:val="26"/>
        </w:rPr>
        <w:t>П</w:t>
      </w:r>
      <w:r w:rsidR="00881511">
        <w:rPr>
          <w:rFonts w:cs="Times New Roman"/>
          <w:sz w:val="26"/>
          <w:szCs w:val="26"/>
        </w:rPr>
        <w:t>рограмме</w:t>
      </w:r>
      <w:r w:rsidRPr="00446083">
        <w:rPr>
          <w:rFonts w:cs="Times New Roman"/>
          <w:sz w:val="26"/>
          <w:szCs w:val="26"/>
        </w:rPr>
        <w:t>.</w:t>
      </w:r>
    </w:p>
    <w:p w:rsidR="00D4575E" w:rsidRPr="008F711C" w:rsidRDefault="00D4575E" w:rsidP="00D4575E">
      <w:pPr>
        <w:pStyle w:val="Standard"/>
        <w:jc w:val="both"/>
        <w:rPr>
          <w:rFonts w:cs="Times New Roman"/>
          <w:sz w:val="26"/>
          <w:szCs w:val="26"/>
        </w:rPr>
      </w:pPr>
    </w:p>
    <w:p w:rsidR="00A548BB" w:rsidRPr="008F711C" w:rsidRDefault="00A548BB" w:rsidP="00D4575E">
      <w:pPr>
        <w:pStyle w:val="Standard"/>
        <w:jc w:val="both"/>
        <w:rPr>
          <w:rFonts w:cs="Times New Roman"/>
          <w:sz w:val="26"/>
          <w:szCs w:val="26"/>
        </w:rPr>
      </w:pPr>
    </w:p>
    <w:p w:rsidR="007B3E47" w:rsidRDefault="002F4A4E" w:rsidP="004B2E0A">
      <w:pPr>
        <w:pStyle w:val="Standard"/>
        <w:contextualSpacing/>
        <w:rPr>
          <w:rFonts w:cs="Times New Roman"/>
          <w:sz w:val="26"/>
          <w:szCs w:val="26"/>
        </w:rPr>
      </w:pPr>
      <w:proofErr w:type="spellStart"/>
      <w:r>
        <w:rPr>
          <w:rFonts w:cs="Times New Roman"/>
          <w:sz w:val="26"/>
          <w:szCs w:val="26"/>
        </w:rPr>
        <w:t>И.о</w:t>
      </w:r>
      <w:proofErr w:type="spellEnd"/>
      <w:r>
        <w:rPr>
          <w:rFonts w:cs="Times New Roman"/>
          <w:sz w:val="26"/>
          <w:szCs w:val="26"/>
        </w:rPr>
        <w:t>. н</w:t>
      </w:r>
      <w:r w:rsidR="00D206D2" w:rsidRPr="00636C28">
        <w:rPr>
          <w:rFonts w:cs="Times New Roman"/>
          <w:sz w:val="26"/>
          <w:szCs w:val="26"/>
        </w:rPr>
        <w:t>ачальник</w:t>
      </w:r>
      <w:r>
        <w:rPr>
          <w:rFonts w:cs="Times New Roman"/>
          <w:sz w:val="26"/>
          <w:szCs w:val="26"/>
        </w:rPr>
        <w:t>а</w:t>
      </w:r>
      <w:r w:rsidR="00D206D2" w:rsidRPr="00636C28">
        <w:rPr>
          <w:rFonts w:cs="Times New Roman"/>
          <w:sz w:val="26"/>
          <w:szCs w:val="26"/>
        </w:rPr>
        <w:t xml:space="preserve"> управления </w:t>
      </w:r>
      <w:r w:rsidR="007B3E47">
        <w:rPr>
          <w:rFonts w:cs="Times New Roman"/>
          <w:sz w:val="26"/>
          <w:szCs w:val="26"/>
        </w:rPr>
        <w:t>по</w:t>
      </w:r>
    </w:p>
    <w:p w:rsidR="007B3E47" w:rsidRDefault="007B3E47" w:rsidP="004B2E0A">
      <w:pPr>
        <w:pStyle w:val="Standard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коммунальному хозяйству</w:t>
      </w:r>
    </w:p>
    <w:p w:rsidR="002F4A4E" w:rsidRDefault="007B3E47" w:rsidP="002F4A4E">
      <w:pPr>
        <w:pStyle w:val="Standard"/>
        <w:contextualSpacing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и благоустройству</w:t>
      </w:r>
      <w:r w:rsidR="002F4A4E">
        <w:rPr>
          <w:rFonts w:cs="Times New Roman"/>
          <w:sz w:val="26"/>
          <w:szCs w:val="26"/>
        </w:rPr>
        <w:t xml:space="preserve"> </w:t>
      </w:r>
      <w:r w:rsidR="002F4A4E" w:rsidRPr="009E6781">
        <w:rPr>
          <w:rFonts w:cs="Times New Roman"/>
          <w:sz w:val="26"/>
          <w:szCs w:val="26"/>
        </w:rPr>
        <w:t>администрации</w:t>
      </w:r>
    </w:p>
    <w:p w:rsidR="007F449E" w:rsidRPr="00636C28" w:rsidRDefault="002F4A4E" w:rsidP="002F4A4E">
      <w:pPr>
        <w:pStyle w:val="Standard"/>
        <w:contextualSpacing/>
        <w:rPr>
          <w:rFonts w:cs="Times New Roman"/>
          <w:sz w:val="26"/>
          <w:szCs w:val="26"/>
        </w:rPr>
      </w:pPr>
      <w:r w:rsidRPr="009E6781">
        <w:rPr>
          <w:rFonts w:cs="Times New Roman"/>
          <w:sz w:val="26"/>
          <w:szCs w:val="26"/>
        </w:rPr>
        <w:t>муниципального</w:t>
      </w:r>
      <w:r>
        <w:rPr>
          <w:rFonts w:cs="Times New Roman"/>
          <w:sz w:val="26"/>
          <w:szCs w:val="26"/>
        </w:rPr>
        <w:t xml:space="preserve"> </w:t>
      </w:r>
      <w:r w:rsidRPr="009E6781">
        <w:rPr>
          <w:rFonts w:cs="Times New Roman"/>
          <w:sz w:val="26"/>
          <w:szCs w:val="26"/>
        </w:rPr>
        <w:t xml:space="preserve">образования «Город Астрахань»        </w:t>
      </w:r>
      <w:r>
        <w:rPr>
          <w:rFonts w:cs="Times New Roman"/>
          <w:sz w:val="26"/>
          <w:szCs w:val="26"/>
        </w:rPr>
        <w:t xml:space="preserve">              </w:t>
      </w:r>
      <w:r w:rsidR="00782356">
        <w:rPr>
          <w:rFonts w:cs="Times New Roman"/>
          <w:sz w:val="26"/>
          <w:szCs w:val="26"/>
        </w:rPr>
        <w:t xml:space="preserve">  </w:t>
      </w:r>
      <w:r>
        <w:rPr>
          <w:rFonts w:cs="Times New Roman"/>
          <w:sz w:val="26"/>
          <w:szCs w:val="26"/>
        </w:rPr>
        <w:t xml:space="preserve">           С.Г. Чернухин</w:t>
      </w:r>
    </w:p>
    <w:sectPr w:rsidR="007F449E" w:rsidRPr="00636C28" w:rsidSect="00782356">
      <w:headerReference w:type="default" r:id="rId9"/>
      <w:headerReference w:type="first" r:id="rId10"/>
      <w:pgSz w:w="11906" w:h="16838"/>
      <w:pgMar w:top="1134" w:right="851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893" w:rsidRDefault="00E70893">
      <w:r>
        <w:separator/>
      </w:r>
    </w:p>
  </w:endnote>
  <w:endnote w:type="continuationSeparator" w:id="0">
    <w:p w:rsidR="00E70893" w:rsidRDefault="00E7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893" w:rsidRDefault="00E70893">
      <w:r>
        <w:rPr>
          <w:color w:val="000000"/>
        </w:rPr>
        <w:separator/>
      </w:r>
    </w:p>
  </w:footnote>
  <w:footnote w:type="continuationSeparator" w:id="0">
    <w:p w:rsidR="00E70893" w:rsidRDefault="00E708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6026843"/>
      <w:docPartObj>
        <w:docPartGallery w:val="Page Numbers (Top of Page)"/>
        <w:docPartUnique/>
      </w:docPartObj>
    </w:sdtPr>
    <w:sdtEndPr/>
    <w:sdtContent>
      <w:p w:rsidR="002F4A4E" w:rsidRDefault="002F4A4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2D9">
          <w:rPr>
            <w:noProof/>
          </w:rPr>
          <w:t>2</w:t>
        </w:r>
        <w:r>
          <w:fldChar w:fldCharType="end"/>
        </w:r>
      </w:p>
    </w:sdtContent>
  </w:sdt>
  <w:p w:rsidR="002F4A4E" w:rsidRDefault="002F4A4E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4A4E" w:rsidRDefault="002F4A4E">
    <w:pPr>
      <w:pStyle w:val="aa"/>
      <w:jc w:val="center"/>
    </w:pPr>
  </w:p>
  <w:p w:rsidR="002F4A4E" w:rsidRDefault="002F4A4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111B3"/>
    <w:multiLevelType w:val="hybridMultilevel"/>
    <w:tmpl w:val="7C60C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2260C"/>
    <w:multiLevelType w:val="hybridMultilevel"/>
    <w:tmpl w:val="C4EC477E"/>
    <w:lvl w:ilvl="0" w:tplc="3376A3E6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ACF7F78"/>
    <w:multiLevelType w:val="hybridMultilevel"/>
    <w:tmpl w:val="42201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C161D5"/>
    <w:multiLevelType w:val="multilevel"/>
    <w:tmpl w:val="E696BF64"/>
    <w:styleLink w:val="WWNum1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D487D"/>
    <w:rsid w:val="000352EC"/>
    <w:rsid w:val="00070C6C"/>
    <w:rsid w:val="000F4098"/>
    <w:rsid w:val="00110F38"/>
    <w:rsid w:val="00113424"/>
    <w:rsid w:val="00144EB8"/>
    <w:rsid w:val="00174561"/>
    <w:rsid w:val="00192ED1"/>
    <w:rsid w:val="001D24CD"/>
    <w:rsid w:val="001D6CE4"/>
    <w:rsid w:val="001E0A58"/>
    <w:rsid w:val="002036F3"/>
    <w:rsid w:val="002544E2"/>
    <w:rsid w:val="0027293D"/>
    <w:rsid w:val="002958D6"/>
    <w:rsid w:val="002B2BDF"/>
    <w:rsid w:val="002D487D"/>
    <w:rsid w:val="002F4A4E"/>
    <w:rsid w:val="0030576A"/>
    <w:rsid w:val="00327EF4"/>
    <w:rsid w:val="00337633"/>
    <w:rsid w:val="003D79B5"/>
    <w:rsid w:val="00414B69"/>
    <w:rsid w:val="00422DEF"/>
    <w:rsid w:val="00446083"/>
    <w:rsid w:val="004605D0"/>
    <w:rsid w:val="0048521A"/>
    <w:rsid w:val="004A1701"/>
    <w:rsid w:val="004B2E0A"/>
    <w:rsid w:val="004D1BB9"/>
    <w:rsid w:val="004E77C8"/>
    <w:rsid w:val="005268B5"/>
    <w:rsid w:val="00533653"/>
    <w:rsid w:val="00535D25"/>
    <w:rsid w:val="00587201"/>
    <w:rsid w:val="00592008"/>
    <w:rsid w:val="005A5A88"/>
    <w:rsid w:val="005A6714"/>
    <w:rsid w:val="005A6C26"/>
    <w:rsid w:val="005C739B"/>
    <w:rsid w:val="006148D0"/>
    <w:rsid w:val="00636C28"/>
    <w:rsid w:val="00662E1F"/>
    <w:rsid w:val="00663A98"/>
    <w:rsid w:val="00674049"/>
    <w:rsid w:val="00684107"/>
    <w:rsid w:val="006A0D6D"/>
    <w:rsid w:val="006C3EF3"/>
    <w:rsid w:val="006E0558"/>
    <w:rsid w:val="007030C1"/>
    <w:rsid w:val="00705212"/>
    <w:rsid w:val="007058EE"/>
    <w:rsid w:val="00723E1D"/>
    <w:rsid w:val="00724356"/>
    <w:rsid w:val="00762685"/>
    <w:rsid w:val="0077276F"/>
    <w:rsid w:val="00774B2D"/>
    <w:rsid w:val="00782356"/>
    <w:rsid w:val="007925A8"/>
    <w:rsid w:val="00795ECE"/>
    <w:rsid w:val="007B3E47"/>
    <w:rsid w:val="007C28DD"/>
    <w:rsid w:val="007F449E"/>
    <w:rsid w:val="007F6660"/>
    <w:rsid w:val="00827725"/>
    <w:rsid w:val="00834F8A"/>
    <w:rsid w:val="00881511"/>
    <w:rsid w:val="008979EC"/>
    <w:rsid w:val="008C572D"/>
    <w:rsid w:val="008E7F1E"/>
    <w:rsid w:val="008F2C99"/>
    <w:rsid w:val="008F711C"/>
    <w:rsid w:val="00914883"/>
    <w:rsid w:val="009201A7"/>
    <w:rsid w:val="0092725B"/>
    <w:rsid w:val="009437D9"/>
    <w:rsid w:val="00945157"/>
    <w:rsid w:val="00946A43"/>
    <w:rsid w:val="0096477C"/>
    <w:rsid w:val="00964B84"/>
    <w:rsid w:val="00983DCA"/>
    <w:rsid w:val="00993E10"/>
    <w:rsid w:val="00994272"/>
    <w:rsid w:val="009B160D"/>
    <w:rsid w:val="00A062BC"/>
    <w:rsid w:val="00A065EC"/>
    <w:rsid w:val="00A30248"/>
    <w:rsid w:val="00A548BB"/>
    <w:rsid w:val="00A85D1C"/>
    <w:rsid w:val="00AA6926"/>
    <w:rsid w:val="00AB3C6A"/>
    <w:rsid w:val="00AD063D"/>
    <w:rsid w:val="00AE4611"/>
    <w:rsid w:val="00AF2657"/>
    <w:rsid w:val="00B5151E"/>
    <w:rsid w:val="00BB64C3"/>
    <w:rsid w:val="00BD39FC"/>
    <w:rsid w:val="00BF53D2"/>
    <w:rsid w:val="00BF603F"/>
    <w:rsid w:val="00C42CFB"/>
    <w:rsid w:val="00CA56DE"/>
    <w:rsid w:val="00CB0718"/>
    <w:rsid w:val="00CC698B"/>
    <w:rsid w:val="00CE6A5F"/>
    <w:rsid w:val="00CF2700"/>
    <w:rsid w:val="00D0016A"/>
    <w:rsid w:val="00D20676"/>
    <w:rsid w:val="00D206D2"/>
    <w:rsid w:val="00D338FD"/>
    <w:rsid w:val="00D341EA"/>
    <w:rsid w:val="00D36C95"/>
    <w:rsid w:val="00D4575E"/>
    <w:rsid w:val="00DA22D9"/>
    <w:rsid w:val="00DB02CE"/>
    <w:rsid w:val="00DF27A1"/>
    <w:rsid w:val="00E0016A"/>
    <w:rsid w:val="00E14EA1"/>
    <w:rsid w:val="00E165A0"/>
    <w:rsid w:val="00E27116"/>
    <w:rsid w:val="00E6356E"/>
    <w:rsid w:val="00E70893"/>
    <w:rsid w:val="00E919BE"/>
    <w:rsid w:val="00EE3CC8"/>
    <w:rsid w:val="00EE4456"/>
    <w:rsid w:val="00EF26C6"/>
    <w:rsid w:val="00F01E3E"/>
    <w:rsid w:val="00F17772"/>
    <w:rsid w:val="00F256C5"/>
    <w:rsid w:val="00F367BA"/>
    <w:rsid w:val="00F4667E"/>
    <w:rsid w:val="00FA19F8"/>
    <w:rsid w:val="00FC3A7B"/>
    <w:rsid w:val="00FE3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4B84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4B84"/>
    <w:pPr>
      <w:widowControl/>
      <w:suppressAutoHyphens/>
    </w:pPr>
  </w:style>
  <w:style w:type="paragraph" w:styleId="a3">
    <w:name w:val="Title"/>
    <w:basedOn w:val="Standard"/>
    <w:next w:val="Textbody"/>
    <w:rsid w:val="00964B8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964B84"/>
    <w:pPr>
      <w:spacing w:after="120"/>
    </w:pPr>
  </w:style>
  <w:style w:type="paragraph" w:styleId="a4">
    <w:name w:val="Subtitle"/>
    <w:basedOn w:val="a3"/>
    <w:next w:val="Textbody"/>
    <w:rsid w:val="00964B84"/>
    <w:pPr>
      <w:jc w:val="center"/>
    </w:pPr>
    <w:rPr>
      <w:i/>
      <w:iCs/>
    </w:rPr>
  </w:style>
  <w:style w:type="paragraph" w:styleId="a5">
    <w:name w:val="List"/>
    <w:basedOn w:val="Textbody"/>
    <w:rsid w:val="00964B84"/>
  </w:style>
  <w:style w:type="paragraph" w:styleId="a6">
    <w:name w:val="caption"/>
    <w:basedOn w:val="Standard"/>
    <w:rsid w:val="00964B8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64B84"/>
    <w:pPr>
      <w:suppressLineNumbers/>
    </w:pPr>
  </w:style>
  <w:style w:type="paragraph" w:customStyle="1" w:styleId="ConsPlusCell">
    <w:name w:val="ConsPlusCell"/>
    <w:rsid w:val="00964B84"/>
    <w:pPr>
      <w:suppressAutoHyphens/>
    </w:pPr>
    <w:rPr>
      <w:rFonts w:ascii="Arial" w:hAnsi="Arial"/>
      <w:sz w:val="20"/>
      <w:szCs w:val="20"/>
      <w:lang w:eastAsia="ru-RU"/>
    </w:rPr>
  </w:style>
  <w:style w:type="paragraph" w:customStyle="1" w:styleId="ConsPlusNormal">
    <w:name w:val="ConsPlusNormal"/>
    <w:rsid w:val="00964B84"/>
    <w:pPr>
      <w:suppressAutoHyphens/>
    </w:pPr>
    <w:rPr>
      <w:rFonts w:ascii="Arial" w:hAnsi="Arial"/>
      <w:sz w:val="20"/>
      <w:szCs w:val="20"/>
      <w:lang w:eastAsia="ru-RU"/>
    </w:rPr>
  </w:style>
  <w:style w:type="paragraph" w:styleId="a7">
    <w:name w:val="List Paragraph"/>
    <w:basedOn w:val="Standard"/>
    <w:rsid w:val="00964B84"/>
    <w:pPr>
      <w:ind w:left="720"/>
    </w:pPr>
  </w:style>
  <w:style w:type="paragraph" w:styleId="a8">
    <w:name w:val="No Spacing"/>
    <w:rsid w:val="00964B84"/>
    <w:pPr>
      <w:widowControl/>
      <w:suppressAutoHyphens/>
    </w:pPr>
  </w:style>
  <w:style w:type="paragraph" w:styleId="a9">
    <w:name w:val="Balloon Text"/>
    <w:basedOn w:val="Standard"/>
    <w:rsid w:val="00964B84"/>
    <w:rPr>
      <w:rFonts w:ascii="Tahoma" w:hAnsi="Tahoma" w:cs="Tahoma"/>
      <w:sz w:val="16"/>
      <w:szCs w:val="16"/>
    </w:rPr>
  </w:style>
  <w:style w:type="paragraph" w:styleId="aa">
    <w:name w:val="header"/>
    <w:basedOn w:val="Standard"/>
    <w:uiPriority w:val="99"/>
    <w:rsid w:val="00964B84"/>
    <w:pPr>
      <w:suppressLineNumbers/>
      <w:tabs>
        <w:tab w:val="center" w:pos="4677"/>
        <w:tab w:val="right" w:pos="9355"/>
      </w:tabs>
    </w:pPr>
  </w:style>
  <w:style w:type="paragraph" w:styleId="ab">
    <w:name w:val="footer"/>
    <w:basedOn w:val="Standard"/>
    <w:rsid w:val="00964B8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964B84"/>
    <w:pPr>
      <w:suppressLineNumbers/>
    </w:pPr>
  </w:style>
  <w:style w:type="character" w:customStyle="1" w:styleId="ac">
    <w:name w:val="Текст выноски Знак"/>
    <w:basedOn w:val="a0"/>
    <w:rsid w:val="00964B84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uiPriority w:val="99"/>
    <w:rsid w:val="00964B84"/>
  </w:style>
  <w:style w:type="character" w:customStyle="1" w:styleId="ae">
    <w:name w:val="Нижний колонтитул Знак"/>
    <w:basedOn w:val="a0"/>
    <w:rsid w:val="00964B84"/>
  </w:style>
  <w:style w:type="numbering" w:customStyle="1" w:styleId="WWNum1">
    <w:name w:val="WWNum1"/>
    <w:basedOn w:val="a2"/>
    <w:rsid w:val="00964B84"/>
    <w:pPr>
      <w:numPr>
        <w:numId w:val="1"/>
      </w:numPr>
    </w:pPr>
  </w:style>
  <w:style w:type="table" w:styleId="af">
    <w:name w:val="Table Grid"/>
    <w:basedOn w:val="a1"/>
    <w:uiPriority w:val="59"/>
    <w:rsid w:val="007F449E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40E25-73A2-43B6-BBD8-674359AF5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4</Pages>
  <Words>1348</Words>
  <Characters>7687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AlekseevaNF</cp:lastModifiedBy>
  <cp:revision>46</cp:revision>
  <cp:lastPrinted>2019-02-21T10:35:00Z</cp:lastPrinted>
  <dcterms:created xsi:type="dcterms:W3CDTF">2015-03-16T06:05:00Z</dcterms:created>
  <dcterms:modified xsi:type="dcterms:W3CDTF">2019-02-21T10:35:00Z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