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EDA" w:rsidRPr="00AD0EDA" w:rsidRDefault="00AD0EDA" w:rsidP="00AD0EDA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ПОДПРОГРАММА 2.</w:t>
      </w:r>
    </w:p>
    <w:p w:rsidR="00AD0EDA" w:rsidRPr="00AD0EDA" w:rsidRDefault="00AD0EDA" w:rsidP="00AD0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«ВЕДЕНИЕ БУХГАЛТЕРСКОГО И НАЛОГОВОГО УЧЕТА</w:t>
      </w:r>
    </w:p>
    <w:p w:rsidR="00AD0EDA" w:rsidRPr="00AD0EDA" w:rsidRDefault="00AD0EDA" w:rsidP="00AD0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МУНИЦИПАЛЬНЫХ УЧРЕЖДЕНИЯХ»</w:t>
      </w:r>
      <w:bookmarkStart w:id="0" w:name="_GoBack"/>
      <w:bookmarkEnd w:id="0"/>
    </w:p>
    <w:p w:rsidR="00AD0EDA" w:rsidRPr="00AD0EDA" w:rsidRDefault="00AD0EDA" w:rsidP="00AD0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0EDA" w:rsidRPr="00AD0EDA" w:rsidRDefault="00AD0EDA" w:rsidP="00AD0EDA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Паспорт</w:t>
      </w: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2"/>
        <w:gridCol w:w="5954"/>
      </w:tblGrid>
      <w:tr w:rsidR="00AD0EDA" w:rsidRPr="00AD0EDA" w:rsidTr="00070F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«Ведение бухгалтерского и налогового учета в муниципальных учреждениях» (далее - Подпрограмма 2)</w:t>
            </w:r>
          </w:p>
        </w:tc>
      </w:tr>
      <w:tr w:rsidR="00AD0EDA" w:rsidRPr="00AD0EDA" w:rsidTr="00070F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 исполнитель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МБУ «ЦБОМУ»</w:t>
            </w:r>
          </w:p>
        </w:tc>
      </w:tr>
      <w:tr w:rsidR="00AD0EDA" w:rsidRPr="00AD0EDA" w:rsidTr="00070F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Отсутствуют</w:t>
            </w:r>
          </w:p>
        </w:tc>
      </w:tr>
      <w:tr w:rsidR="00AD0EDA" w:rsidRPr="00AD0EDA" w:rsidTr="00070F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Повышение эффективности использования бюджетных средств и результатов деятельности муниципальных учреждений</w:t>
            </w:r>
          </w:p>
        </w:tc>
      </w:tr>
      <w:tr w:rsidR="00AD0EDA" w:rsidRPr="00AD0EDA" w:rsidTr="00070F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бухгалтерских услуг в муниципальных учреждениях</w:t>
            </w:r>
          </w:p>
        </w:tc>
      </w:tr>
      <w:tr w:rsidR="00AD0EDA" w:rsidRPr="00AD0EDA" w:rsidTr="00070F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Целевые показатели (индикаторы)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доля обслуживаемых лицевых счетов муниципальных учреждений, переданных на обслуживание;</w:t>
            </w:r>
          </w:p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доля своевременно представленной годовой, квартальной, месячной отчетности.</w:t>
            </w:r>
          </w:p>
        </w:tc>
      </w:tr>
      <w:tr w:rsidR="00AD0EDA" w:rsidRPr="00AD0EDA" w:rsidTr="00070FEE"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Подпрограммы 2 рассчитана на 2021–2025 годы.</w:t>
            </w:r>
          </w:p>
        </w:tc>
      </w:tr>
      <w:tr w:rsidR="00AD0EDA" w:rsidRPr="00AD0EDA" w:rsidTr="00070FEE"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 финансирования муниципальной программы составляет 285 721 345 рублей 69 копеек, из них:</w:t>
            </w:r>
          </w:p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за счет средств бюджета муниципального образования «Город Астрахань» 247 733 845 рублей 69 копеек, в том числе по годам:</w:t>
            </w:r>
          </w:p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2021 год – 55 815 408 рублей;</w:t>
            </w:r>
          </w:p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2022 год – 55 815 408 рублей;</w:t>
            </w:r>
          </w:p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2023 год – 24 472 213 рублей 69 копеек;</w:t>
            </w:r>
          </w:p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2024 год – 55 815 408 рублей;</w:t>
            </w:r>
          </w:p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2025 год – 55 815 408 рублей.</w:t>
            </w:r>
          </w:p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средства бюджета Астраханской области 39 987 500 рублей 00 копеек, в том числе по годам:</w:t>
            </w:r>
          </w:p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 год – 0,00 руб.;</w:t>
            </w:r>
          </w:p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2022 год – 0,00 руб.;</w:t>
            </w:r>
          </w:p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2023 год – 39 987 500,0 руб.;</w:t>
            </w:r>
          </w:p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2024 год – 0,00 руб.;</w:t>
            </w:r>
          </w:p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2025 год – 0,00 руб.</w:t>
            </w:r>
          </w:p>
        </w:tc>
      </w:tr>
      <w:tr w:rsidR="00AD0EDA" w:rsidRPr="00AD0EDA" w:rsidTr="00070F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доля обслуживаемых лицевых счетов муниципальных учреждений переданных на обслуживание – 100 % (ежегодно);</w:t>
            </w:r>
          </w:p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доля своевременно представленной годовой, квартальной, месячной отчетности – 100% (ежегодно).</w:t>
            </w:r>
          </w:p>
        </w:tc>
      </w:tr>
      <w:tr w:rsidR="00AD0EDA" w:rsidRPr="00AD0EDA" w:rsidTr="00070F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Система организации </w:t>
            </w:r>
            <w:proofErr w:type="gramStart"/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контроля за</w:t>
            </w:r>
            <w:proofErr w:type="gramEnd"/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исполнением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DA" w:rsidRPr="00AD0EDA" w:rsidRDefault="00AD0EDA" w:rsidP="00AD0E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AD0E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исполнением Подпрограммы 2 осуществляет МБУ «ЦБОМУ», которое представляет отчеты о ходе ее реализации в финансово-казначейское управление за полугодие и год в установленные сроки.</w:t>
            </w:r>
          </w:p>
        </w:tc>
      </w:tr>
    </w:tbl>
    <w:p w:rsidR="00AD0EDA" w:rsidRPr="00AD0EDA" w:rsidRDefault="00AD0EDA" w:rsidP="00AD0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0EDA" w:rsidRPr="00AD0EDA" w:rsidRDefault="00AD0EDA" w:rsidP="00AD0EDA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Характеристика проблемы в рассматриваемой сфере и прогноз</w:t>
      </w:r>
    </w:p>
    <w:p w:rsidR="00AD0EDA" w:rsidRPr="00AD0EDA" w:rsidRDefault="00AD0EDA" w:rsidP="00AD0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ее развития с учетом реализации Подпрограммы 2</w:t>
      </w:r>
    </w:p>
    <w:p w:rsidR="00AD0EDA" w:rsidRPr="00AD0EDA" w:rsidRDefault="00AD0EDA" w:rsidP="00AD0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0EDA" w:rsidRPr="00AD0EDA" w:rsidRDefault="00AD0EDA" w:rsidP="00AD0ED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Одной из основных задач финансовых органов по обеспечению исполнения бюджета является эффективность использования бюджетных средств. В рамках решения данной задачи роль централизованных бухгалтерий приобретает все большее значение.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Бюджетный учет, как и вообще учет для каждого юридического лица требует больших финансовых влияний и профессиональных кадров. Поэтому только через централизацию учета, через программное обеспечение, централизующее этот учет на уровне отраслевых ведомств, можно решать вопросы по качественному составлению отчетности.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Важно обеспечить эффективное функционирование централизованных бухгалтерий с соблюдением всех требований современного законодательства. </w:t>
      </w: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этих целей информационные системы, на базе которых производится автоматизация централизованных бухгалтерий, должны обеспечивать: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ведение учета по группам учреждений с учетом их ведомственной принадлежности в соответствии с единым методологическим подходом, что позволяет значительно сократить сроки сведения и консолидации отчетности и оперативно производить сравнение показателей, как за определенный период, так и между учреждениями;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использование единых справочников и классификаторов, без чего невозможно получать значения отдельных показателей, необходимые для проведения анализа;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ведение всех учетных процессов в единой базе данных всеми сотрудниками централизованной бухгалтерии, что избавляет от необходимости дополнительного сбора информации при составлении учетных регистров, отчетных форм и формирования управленческих показателей;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возможность удаленного мониторинга ряда ключевых показателей руководителями обслуживаемых учреждений для получения сведений, необходимых для принятия решений, связанных с функционированием учреждений;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высокую степень отказоустойчивости системы и сохранности информации (учитывая значимость сохранности такого большого объема информации, который обрабатывается в централизованной бухгалтерии).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настоящей Подпрограммы 2 предполагается организация бюджетного учета в централизованной бухгалтерии, направленная на повышение эффективности использования бюджетных средств и результатов деятельности муниципальных учреждений: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минимизация управленческих затрат по осуществлению учетных и отчетных процедур;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унификация порядка ведения учета и проведения контрольных мероприятий;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руководства органа власти достоверной и оперативной информацией;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повышение качества бюджетной отчетности.</w:t>
      </w:r>
    </w:p>
    <w:p w:rsidR="00AD0EDA" w:rsidRDefault="00AD0EDA" w:rsidP="00AD0E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D0EDA" w:rsidSect="001A72BB">
          <w:headerReference w:type="default" r:id="rId5"/>
          <w:pgSz w:w="11906" w:h="16838"/>
          <w:pgMar w:top="2268" w:right="1134" w:bottom="567" w:left="1134" w:header="709" w:footer="709" w:gutter="0"/>
          <w:cols w:space="708"/>
          <w:docGrid w:linePitch="360"/>
        </w:sectPr>
      </w:pPr>
    </w:p>
    <w:p w:rsidR="00AD0EDA" w:rsidRPr="00AD0EDA" w:rsidRDefault="00AD0EDA" w:rsidP="00AD0EDA">
      <w:pPr>
        <w:autoSpaceDE w:val="0"/>
        <w:autoSpaceDN w:val="0"/>
        <w:adjustRightInd w:val="0"/>
        <w:spacing w:after="0" w:line="23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3. Цели, задачи и показатели (индикаторы) достижения целей</w:t>
      </w:r>
    </w:p>
    <w:p w:rsidR="00AD0EDA" w:rsidRPr="00AD0EDA" w:rsidRDefault="00AD0EDA" w:rsidP="00AD0EDA">
      <w:pPr>
        <w:autoSpaceDE w:val="0"/>
        <w:autoSpaceDN w:val="0"/>
        <w:adjustRightInd w:val="0"/>
        <w:spacing w:after="0" w:line="23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решения задач, описание основных ожидаемых конечных</w:t>
      </w:r>
    </w:p>
    <w:p w:rsidR="00AD0EDA" w:rsidRPr="00AD0EDA" w:rsidRDefault="00AD0EDA" w:rsidP="00AD0EDA">
      <w:pPr>
        <w:autoSpaceDE w:val="0"/>
        <w:autoSpaceDN w:val="0"/>
        <w:adjustRightInd w:val="0"/>
        <w:spacing w:after="0" w:line="23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результатов Подпрограммы 2</w:t>
      </w:r>
    </w:p>
    <w:p w:rsidR="00AD0EDA" w:rsidRPr="00AD0EDA" w:rsidRDefault="00AD0EDA" w:rsidP="00AD0EDA">
      <w:pPr>
        <w:autoSpaceDE w:val="0"/>
        <w:autoSpaceDN w:val="0"/>
        <w:adjustRightInd w:val="0"/>
        <w:spacing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реализации Подпрограммы 2, в целях повышения эффективности использования бюджетных средств, качества информации о финансовом положении и результатах деятельности муниципальных учреждений города Астрахани создано муниципальное бюджетное учреждение города Астрахани "Центр бухгалтерского обслуживания муниципальных учреждений".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Предметом деятельности МБУ </w:t>
      </w:r>
      <w:r w:rsidR="0062720D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ЦБОМУ</w:t>
      </w:r>
      <w:r w:rsidR="0062720D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решения основной задачи Подпрограммы 2 является централизованное ведение бюджетного, бухгалтерского и налогового учета в муниципальных учреждениях с которыми МБУ </w:t>
      </w:r>
      <w:r w:rsidR="0062720D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ЦБОМУ</w:t>
      </w:r>
      <w:r w:rsidR="0062720D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заключены соглашения о передаче полномочий по ведению бюджетного (бухгалтерского) учета и формированию бюджетной отчетности (далее - обслуживаемые муниципальные учреждения).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достижения целей Подпрограммы 2, МБУ </w:t>
      </w:r>
      <w:r w:rsidR="0062720D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ЦБОМУ</w:t>
      </w:r>
      <w:r w:rsidR="0062720D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 в установленном законодательством Российской Федерации порядке основной вид деятельности по централизованному ведению бюджетного, бухгалтерского и налогового учета в муниципальных учреждениях, включающий в себя: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</w:t>
      </w:r>
      <w:proofErr w:type="gramStart"/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учетной</w:t>
      </w:r>
      <w:proofErr w:type="gramEnd"/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политики обслуживаемых муниципальных учреждений;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ведение бюджетного, бухгалтерского учета в обслуживаемых муниципальных учреждениях, формирование и представление в установленные сроки бюджетной отчетности обслуживаемых муниципальных учреждений главному распорядителю бюджетных средств;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расчет налогов и сборов, подлежащих уплате обслуживаемыми муниципальными учреждениями в бюджетную систему Российской Федерации, формирование и представление в установленные сроки соответствующих налоговых деклараций, расчетов, иной отчетности обслуживаемых муниципальных учреждений налоговым органам;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расчет заработной платы и иных сумм, причитающихся работникам обслуживаемых муниципальных учреждений, расчет страховых взносов, подлежащих уплате в государственные внебюджетные фонды Российской Федерации, формирование и представление в установленные сроки соответствующих расчетов по начисленным и уплаченным страховым взносам обслуживаемых муниципальных учреждений органам, осуществляющим контроль за уплатой страховых взносов, а также ведение индивидуального (персонифицированного) учета работников обслуживаемых муниципальных учреждений и представление соответствующих сведений</w:t>
      </w:r>
      <w:proofErr w:type="gramEnd"/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органам Пенсионного фонда Российской Федерации;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формирование и представление в установленные сроки соответствующих первичных статистических данных обслуживаемых муниципальных учреждений и формированию бюджетной отчетности субъектам официального статистического учета;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участие в проведении инвентаризации активов и обязательств обслуживаемых муниципальных учреждений;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представление интересов обслуживаемых муниципальных учреждений в отношениях с налоговыми органами, органами, осуществляющими </w:t>
      </w:r>
      <w:proofErr w:type="gramStart"/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уплатой страховых взносов, субъектами официального статистического учета, иными органами и организациями;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консультирование руководителей обслуживаемых муниципальных учреждений по вопросам, относящимся к соглашениям о передаче полномочий по ведению бюджетного (бухгалтерского) учета и формированию бюджетной отчетности.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показателей (индикаторов) Подпрограммы 2 увязан с основными мероприятиями и позволяет оценить ожидаемые результаты и эффективность ее реализации на период до 2025 года.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Достижение целей и решение основных задач Подпрограммы 2 оценивается следующими целевыми показателями (индикаторы):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доля обслуживаемых лицевых счетов муниципальных учреждений переданных на обслуживание;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доля своевременно представленной годовой, квартальной, месячной отчетности.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указанных задач и достижение главной цели Подпрограммы 2 позволит в 2021</w:t>
      </w:r>
      <w:r w:rsidR="0062720D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2025 годах достигнуть следующих основных результатов:</w:t>
      </w:r>
    </w:p>
    <w:p w:rsidR="00AD0EDA" w:rsidRPr="00AD0EDA" w:rsidRDefault="00AD0EDA" w:rsidP="00AD0EDA">
      <w:pPr>
        <w:autoSpaceDE w:val="0"/>
        <w:autoSpaceDN w:val="0"/>
        <w:adjustRightInd w:val="0"/>
        <w:spacing w:after="0" w:line="23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- доля обслуживаемых лицевых счетов муниципальных учреждений переданных на обслуживание – 100 % (ежегодно);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доля своевременно представленной годовой, квартальной, месячной отчетности </w:t>
      </w:r>
      <w:r w:rsidR="00BC78F1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100</w:t>
      </w:r>
      <w:r w:rsidR="00BC78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% (ежегодно).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того, реализация мероприятий Подпрограммы 2 позволит: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повысить качество постановки и ведения бухгалтерского и налогового учета в муниципальных учреждениях;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обеспечить основными принципами ведения хозяйственной деятельности: прозрачности, достоверности, своевременности, эффективности, рациональности, путем выработки и применения единой методологии и </w:t>
      </w: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технических средств,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заданий.</w:t>
      </w:r>
    </w:p>
    <w:p w:rsidR="00AD0EDA" w:rsidRDefault="00AD0EDA" w:rsidP="00AD0EDA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D0EDA" w:rsidRPr="00AD0EDA" w:rsidRDefault="00AD0EDA" w:rsidP="00AD0EDA">
      <w:pPr>
        <w:autoSpaceDE w:val="0"/>
        <w:autoSpaceDN w:val="0"/>
        <w:adjustRightInd w:val="0"/>
        <w:spacing w:after="0" w:line="23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Прогноз сводных показателей целевых заданий по этапам</w:t>
      </w:r>
    </w:p>
    <w:p w:rsidR="00AD0EDA" w:rsidRPr="00AD0EDA" w:rsidRDefault="00AD0EDA" w:rsidP="00AD0EDA">
      <w:pPr>
        <w:autoSpaceDE w:val="0"/>
        <w:autoSpaceDN w:val="0"/>
        <w:adjustRightInd w:val="0"/>
        <w:spacing w:after="0" w:line="23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реализации Подпрограммы 2</w:t>
      </w:r>
    </w:p>
    <w:p w:rsidR="00AD0EDA" w:rsidRPr="00AD0EDA" w:rsidRDefault="00AD0EDA" w:rsidP="00AD0EDA">
      <w:pPr>
        <w:autoSpaceDE w:val="0"/>
        <w:autoSpaceDN w:val="0"/>
        <w:adjustRightInd w:val="0"/>
        <w:spacing w:after="0" w:line="23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0EDA" w:rsidRPr="00AD0EDA" w:rsidRDefault="00AD0EDA" w:rsidP="00AD0EDA">
      <w:pPr>
        <w:autoSpaceDE w:val="0"/>
        <w:autoSpaceDN w:val="0"/>
        <w:adjustRightInd w:val="0"/>
        <w:spacing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реализации мероприятий подпрограммы </w:t>
      </w:r>
      <w:r w:rsidR="00BC78F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Ведение бухгалтерского и налогового учета в муниципальных учреждениях</w:t>
      </w:r>
      <w:r w:rsidR="00BC78F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 ведомственный перечень оказываемых муниципальных услуг (выполняемых работ) МБУ </w:t>
      </w:r>
      <w:r w:rsidR="00BC78F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ЦБОМУ</w:t>
      </w:r>
      <w:r w:rsidR="00BC78F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централизованное ведение бюджетного, бухгалтерского и налогового учета в муниципальных учреждениях.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показатели, характеризующие качество муниципальной услуги, представлены в приложение 1 к муниципальной программе.</w:t>
      </w:r>
    </w:p>
    <w:p w:rsidR="00AD0EDA" w:rsidRPr="00AD0EDA" w:rsidRDefault="00AD0EDA" w:rsidP="00AD0EDA">
      <w:pPr>
        <w:autoSpaceDE w:val="0"/>
        <w:autoSpaceDN w:val="0"/>
        <w:adjustRightInd w:val="0"/>
        <w:spacing w:after="0" w:line="23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0EDA" w:rsidRPr="00AD0EDA" w:rsidRDefault="00AD0EDA" w:rsidP="00AD0EDA">
      <w:pPr>
        <w:autoSpaceDE w:val="0"/>
        <w:autoSpaceDN w:val="0"/>
        <w:adjustRightInd w:val="0"/>
        <w:spacing w:after="0" w:line="23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Обоснование объема финансовых ресурсов, необходимых</w:t>
      </w:r>
    </w:p>
    <w:p w:rsidR="00AD0EDA" w:rsidRPr="00AD0EDA" w:rsidRDefault="00AD0EDA" w:rsidP="00AD0EDA">
      <w:pPr>
        <w:autoSpaceDE w:val="0"/>
        <w:autoSpaceDN w:val="0"/>
        <w:adjustRightInd w:val="0"/>
        <w:spacing w:after="0" w:line="23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реализации Подпрограммы 2</w:t>
      </w:r>
    </w:p>
    <w:p w:rsidR="00AD0EDA" w:rsidRPr="00AD0EDA" w:rsidRDefault="00AD0EDA" w:rsidP="00AD0EDA">
      <w:pPr>
        <w:autoSpaceDE w:val="0"/>
        <w:autoSpaceDN w:val="0"/>
        <w:adjustRightInd w:val="0"/>
        <w:spacing w:after="0" w:line="23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 финансирования муниципальной программы составляет 285 721 345 рублей 69 копеек, из них:</w:t>
      </w:r>
    </w:p>
    <w:p w:rsidR="00AD0EDA" w:rsidRPr="00AD0EDA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 счет средств бюджета муниципального образования «Город Астрахань» 247 733 845 рублей 69 копеек, в том числе по годам:</w:t>
      </w:r>
    </w:p>
    <w:p w:rsidR="00AD0EDA" w:rsidRPr="00AD0EDA" w:rsidRDefault="00AD0EDA" w:rsidP="00AD0EDA">
      <w:pPr>
        <w:autoSpaceDE w:val="0"/>
        <w:autoSpaceDN w:val="0"/>
        <w:adjustRightInd w:val="0"/>
        <w:spacing w:before="120" w:after="0" w:line="23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2021 год – 55 815 408 рублей;</w:t>
      </w:r>
    </w:p>
    <w:p w:rsidR="00AD0EDA" w:rsidRPr="00AD0EDA" w:rsidRDefault="00AD0EDA" w:rsidP="00AD0EDA">
      <w:pPr>
        <w:autoSpaceDE w:val="0"/>
        <w:autoSpaceDN w:val="0"/>
        <w:adjustRightInd w:val="0"/>
        <w:spacing w:before="120" w:after="0" w:line="23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2022 год – 55 815 408 рублей;</w:t>
      </w:r>
    </w:p>
    <w:p w:rsidR="00AD0EDA" w:rsidRPr="00AD0EDA" w:rsidRDefault="00AD0EDA" w:rsidP="00AD0EDA">
      <w:pPr>
        <w:autoSpaceDE w:val="0"/>
        <w:autoSpaceDN w:val="0"/>
        <w:adjustRightInd w:val="0"/>
        <w:spacing w:before="120" w:after="0" w:line="23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2023 год – 24 472 213 рублей 69 копеек;</w:t>
      </w:r>
    </w:p>
    <w:p w:rsidR="00AD0EDA" w:rsidRPr="00AD0EDA" w:rsidRDefault="00AD0EDA" w:rsidP="00AD0EDA">
      <w:pPr>
        <w:autoSpaceDE w:val="0"/>
        <w:autoSpaceDN w:val="0"/>
        <w:adjustRightInd w:val="0"/>
        <w:spacing w:before="120" w:after="0" w:line="23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2024 год – 55 815 408 рублей;</w:t>
      </w:r>
    </w:p>
    <w:p w:rsidR="00AD0EDA" w:rsidRPr="00AD0EDA" w:rsidRDefault="00AD0EDA" w:rsidP="00AD0EDA">
      <w:pPr>
        <w:autoSpaceDE w:val="0"/>
        <w:autoSpaceDN w:val="0"/>
        <w:adjustRightInd w:val="0"/>
        <w:spacing w:before="120" w:after="0" w:line="23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2025 год – 55 815 408 рублей.</w:t>
      </w:r>
    </w:p>
    <w:p w:rsidR="00AD0EDA" w:rsidRPr="00AD0EDA" w:rsidRDefault="00AD0EDA" w:rsidP="00AD0EDA">
      <w:pPr>
        <w:autoSpaceDE w:val="0"/>
        <w:autoSpaceDN w:val="0"/>
        <w:adjustRightInd w:val="0"/>
        <w:spacing w:before="120" w:after="0" w:line="23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бюджета Астраханской области 39 987 500 рублей 00 копеек, в том числе по годам:</w:t>
      </w:r>
    </w:p>
    <w:p w:rsidR="00AD0EDA" w:rsidRPr="00AD0EDA" w:rsidRDefault="00AD0EDA" w:rsidP="00AD0EDA">
      <w:pPr>
        <w:autoSpaceDE w:val="0"/>
        <w:autoSpaceDN w:val="0"/>
        <w:adjustRightInd w:val="0"/>
        <w:spacing w:before="120" w:after="0" w:line="23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2021 год – 0,00 руб.;</w:t>
      </w:r>
    </w:p>
    <w:p w:rsidR="00AD0EDA" w:rsidRPr="00AD0EDA" w:rsidRDefault="00AD0EDA" w:rsidP="00AD0EDA">
      <w:pPr>
        <w:autoSpaceDE w:val="0"/>
        <w:autoSpaceDN w:val="0"/>
        <w:adjustRightInd w:val="0"/>
        <w:spacing w:before="120" w:after="0" w:line="23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2022 год – 0,00 руб.;</w:t>
      </w:r>
    </w:p>
    <w:p w:rsidR="00AD0EDA" w:rsidRPr="00AD0EDA" w:rsidRDefault="00AD0EDA" w:rsidP="00AD0EDA">
      <w:pPr>
        <w:autoSpaceDE w:val="0"/>
        <w:autoSpaceDN w:val="0"/>
        <w:adjustRightInd w:val="0"/>
        <w:spacing w:before="120" w:after="0" w:line="23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2023 год – 39 987 500,0 руб.;</w:t>
      </w:r>
    </w:p>
    <w:p w:rsidR="00AD0EDA" w:rsidRPr="00AD0EDA" w:rsidRDefault="00AD0EDA" w:rsidP="00AD0EDA">
      <w:pPr>
        <w:autoSpaceDE w:val="0"/>
        <w:autoSpaceDN w:val="0"/>
        <w:adjustRightInd w:val="0"/>
        <w:spacing w:before="120" w:after="0" w:line="23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2024 год – 0,00 руб.;</w:t>
      </w:r>
    </w:p>
    <w:p w:rsidR="00AD0EDA" w:rsidRPr="00AD0EDA" w:rsidRDefault="00AD0EDA" w:rsidP="00AD0EDA">
      <w:pPr>
        <w:autoSpaceDE w:val="0"/>
        <w:autoSpaceDN w:val="0"/>
        <w:adjustRightInd w:val="0"/>
        <w:spacing w:before="120" w:after="0" w:line="23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2025 год – 0,00 руб.</w:t>
      </w:r>
    </w:p>
    <w:p w:rsidR="00FF4A14" w:rsidRDefault="00AD0EDA" w:rsidP="00AD0EDA">
      <w:pPr>
        <w:autoSpaceDE w:val="0"/>
        <w:autoSpaceDN w:val="0"/>
        <w:adjustRightInd w:val="0"/>
        <w:spacing w:before="240" w:after="0" w:line="230" w:lineRule="auto"/>
        <w:ind w:firstLine="540"/>
        <w:jc w:val="both"/>
      </w:pPr>
      <w:r w:rsidRPr="00AD0ED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Распределение расходов на реализацию Подпрограммы 2 представлено в приложении 2 к муниципальной программе.</w:t>
      </w:r>
    </w:p>
    <w:sectPr w:rsidR="00FF4A14" w:rsidSect="001A72BB">
      <w:pgSz w:w="11906" w:h="16838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1AC2" w:rsidRDefault="00BC78F1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:rsidR="00371AC2" w:rsidRDefault="00BC78F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EDA"/>
    <w:rsid w:val="0062720D"/>
    <w:rsid w:val="008505A8"/>
    <w:rsid w:val="00A56E3A"/>
    <w:rsid w:val="00AD0EDA"/>
    <w:rsid w:val="00BC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D0ED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AD0ED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D0ED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AD0ED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1577</Words>
  <Characters>8991</Characters>
  <Application>Microsoft Office Word</Application>
  <DocSecurity>0</DocSecurity>
  <Lines>74</Lines>
  <Paragraphs>21</Paragraphs>
  <ScaleCrop>false</ScaleCrop>
  <Company/>
  <LinksUpToDate>false</LinksUpToDate>
  <CharactersWithSpaces>10547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2022-12-20T07:34:00Z</dcterms:created>
  <dcterms:modified xsi:type="dcterms:W3CDTF">2022-12-20T07:37:00Z</dcterms:modified>
</cp:coreProperties>
</file>