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BE0" w:rsidRPr="003A51B6" w:rsidRDefault="00180BE0" w:rsidP="00180BE0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Администрация муниципального образования «Город Астрахань»</w:t>
      </w:r>
    </w:p>
    <w:p w:rsidR="0086310E" w:rsidRDefault="00180BE0" w:rsidP="00180BE0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ПОСТАНОВЛЕНИЕ</w:t>
      </w:r>
    </w:p>
    <w:p w:rsidR="00180BE0" w:rsidRPr="003A51B6" w:rsidRDefault="00180BE0" w:rsidP="00180BE0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20 февраля 2020 года № 36</w:t>
      </w:r>
    </w:p>
    <w:p w:rsidR="00180BE0" w:rsidRPr="003A51B6" w:rsidRDefault="00180BE0" w:rsidP="00180BE0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«О порядке осуществления оценки налоговых расходов</w:t>
      </w:r>
    </w:p>
    <w:p w:rsidR="00180BE0" w:rsidRPr="003A51B6" w:rsidRDefault="00180BE0" w:rsidP="00180BE0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муниципального образования «Город Астрахань»</w:t>
      </w:r>
    </w:p>
    <w:p w:rsidR="00180BE0" w:rsidRPr="003A51B6" w:rsidRDefault="00180BE0" w:rsidP="0086310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В соответствии со статьей 174.3 Бюджетного кодекса Российской Федерации, постановлением Правительства Российской Федерации от 22.06.2019 № 796 «Об общих требованиях к оценке налоговых расходов субъектов Российской Федерации и муниципальных образований» ПОСТАНОВЛЯЮ:</w:t>
      </w:r>
    </w:p>
    <w:p w:rsidR="00180BE0" w:rsidRPr="003A51B6" w:rsidRDefault="00180BE0" w:rsidP="0086310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1. Утвердить прилагаемый Порядок осуществления оценки налоговых расходов муниципального образования «Город Астрахань».</w:t>
      </w:r>
    </w:p>
    <w:p w:rsidR="00180BE0" w:rsidRPr="003A51B6" w:rsidRDefault="00180BE0" w:rsidP="0086310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2. Финансово-казначейскому управлению администрации муниципального образования «Город Астрахань» проводить разъяснения главным распорядителям бюджетных средств по вопросам оценки эффективности налоговых расходов муниципального образования «Город Астрахань».</w:t>
      </w:r>
    </w:p>
    <w:p w:rsidR="00180BE0" w:rsidRPr="003A51B6" w:rsidRDefault="00180BE0" w:rsidP="0086310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3. Управлению информационной, политики администрации муниципального образования «Город Астрахань»:</w:t>
      </w:r>
    </w:p>
    <w:p w:rsidR="00180BE0" w:rsidRPr="003A51B6" w:rsidRDefault="00180BE0" w:rsidP="0086310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80BE0" w:rsidRPr="003A51B6" w:rsidRDefault="00180BE0" w:rsidP="0086310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3.2. </w:t>
      </w:r>
      <w:proofErr w:type="gramStart"/>
      <w:r w:rsidRPr="003A51B6">
        <w:rPr>
          <w:spacing w:val="0"/>
        </w:rPr>
        <w:t>Разместить</w:t>
      </w:r>
      <w:proofErr w:type="gramEnd"/>
      <w:r w:rsidRPr="003A51B6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80BE0" w:rsidRPr="003A51B6" w:rsidRDefault="00180BE0" w:rsidP="0086310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180BE0" w:rsidRPr="003A51B6" w:rsidRDefault="00180BE0" w:rsidP="0086310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80BE0" w:rsidRPr="003A51B6" w:rsidRDefault="00180BE0" w:rsidP="0086310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80BE0" w:rsidRPr="003A51B6" w:rsidRDefault="00180BE0" w:rsidP="0086310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5. Настоящее постановление вступает в силу со дня его официального опубликования.</w:t>
      </w:r>
    </w:p>
    <w:p w:rsidR="00180BE0" w:rsidRPr="003A51B6" w:rsidRDefault="00180BE0" w:rsidP="0086310E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6. </w:t>
      </w:r>
      <w:proofErr w:type="gramStart"/>
      <w:r w:rsidRPr="003A51B6">
        <w:rPr>
          <w:spacing w:val="0"/>
        </w:rPr>
        <w:t>Контроль за</w:t>
      </w:r>
      <w:proofErr w:type="gramEnd"/>
      <w:r w:rsidRPr="003A51B6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- начальника финансово-казначейского управления администрации муниципального образования «Город Астрахань».</w:t>
      </w:r>
    </w:p>
    <w:p w:rsidR="00180BE0" w:rsidRPr="003A51B6" w:rsidRDefault="00180BE0" w:rsidP="00180BE0">
      <w:pPr>
        <w:pStyle w:val="a3"/>
        <w:spacing w:line="240" w:lineRule="auto"/>
        <w:jc w:val="right"/>
        <w:rPr>
          <w:spacing w:val="0"/>
        </w:rPr>
      </w:pPr>
      <w:r w:rsidRPr="003A51B6">
        <w:rPr>
          <w:b/>
          <w:bCs/>
          <w:spacing w:val="0"/>
        </w:rPr>
        <w:t>Глава администрации Р.Л. ХАРИСОВ</w:t>
      </w:r>
    </w:p>
    <w:p w:rsidR="00180BE0" w:rsidRPr="003A51B6" w:rsidRDefault="00180BE0" w:rsidP="00180BE0">
      <w:pPr>
        <w:pStyle w:val="a3"/>
        <w:spacing w:line="240" w:lineRule="auto"/>
        <w:rPr>
          <w:spacing w:val="0"/>
        </w:rPr>
      </w:pPr>
    </w:p>
    <w:p w:rsidR="0086310E" w:rsidRDefault="0086310E" w:rsidP="00180BE0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180BE0" w:rsidRPr="003A51B6" w:rsidRDefault="00180BE0" w:rsidP="0086310E">
      <w:pPr>
        <w:pStyle w:val="a3"/>
        <w:spacing w:line="240" w:lineRule="auto"/>
        <w:ind w:left="2124" w:firstLine="0"/>
        <w:rPr>
          <w:spacing w:val="0"/>
        </w:rPr>
      </w:pPr>
      <w:proofErr w:type="gramStart"/>
      <w:r w:rsidRPr="003A51B6">
        <w:rPr>
          <w:spacing w:val="0"/>
        </w:rPr>
        <w:lastRenderedPageBreak/>
        <w:t>Утвержден</w:t>
      </w:r>
      <w:proofErr w:type="gramEnd"/>
      <w:r w:rsidRPr="003A51B6">
        <w:rPr>
          <w:spacing w:val="0"/>
        </w:rPr>
        <w:t xml:space="preserve"> постановлением администрации </w:t>
      </w:r>
    </w:p>
    <w:p w:rsidR="00180BE0" w:rsidRPr="003A51B6" w:rsidRDefault="00180BE0" w:rsidP="0086310E">
      <w:pPr>
        <w:pStyle w:val="a3"/>
        <w:spacing w:line="240" w:lineRule="auto"/>
        <w:ind w:left="2124" w:firstLine="0"/>
        <w:rPr>
          <w:spacing w:val="0"/>
        </w:rPr>
      </w:pPr>
      <w:r w:rsidRPr="003A51B6">
        <w:rPr>
          <w:spacing w:val="0"/>
        </w:rPr>
        <w:t>муниципального образования «Город Астрахань»</w:t>
      </w:r>
      <w:r w:rsidR="0086310E">
        <w:rPr>
          <w:spacing w:val="0"/>
        </w:rPr>
        <w:t xml:space="preserve"> </w:t>
      </w:r>
      <w:r w:rsidRPr="003A51B6">
        <w:rPr>
          <w:spacing w:val="0"/>
        </w:rPr>
        <w:t>от 20.02.2020 № 36</w:t>
      </w:r>
    </w:p>
    <w:p w:rsidR="00180BE0" w:rsidRPr="003A51B6" w:rsidRDefault="00180BE0" w:rsidP="00180BE0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Порядок осуществления оценки налоговых расходов </w:t>
      </w:r>
    </w:p>
    <w:p w:rsidR="00180BE0" w:rsidRPr="003A51B6" w:rsidRDefault="00180BE0" w:rsidP="00180BE0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муниципального образования «Город Астрахань»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1. Настоящий Порядок осуществления оценки налоговых расходов муниципального образования «Город Астрахань» (далее - Порядок) разработан в соответствии с Бюджетным кодексом Российской Федерации и определяет процедуру осуществления оценки налоговых расходов муниципального образования «Город Астрахань» кураторами налоговых расходов муниципального образования «Город Астрахань».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2. Термины, используемые в настоящем Порядке, применяются в значениях, определенных законодательством Российской Федерации, Астраханской области и нормативно-правовыми актами муниципального образования «Город Астрахань».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3. </w:t>
      </w:r>
      <w:proofErr w:type="gramStart"/>
      <w:r w:rsidRPr="003A51B6">
        <w:rPr>
          <w:spacing w:val="0"/>
        </w:rPr>
        <w:t>Отнесение налоговых расходов муниципального образования «Город Астрахань» (далее - налоговые расходы) к муниципальным и ведомственным целевым программам муниципального образования «Город Астрахань» осуществляется исходя из целей муниципальных и ведомственных целевых программ муниципального образования «Город Астрахань», структурных элементов муниципальных и ведомственных целевых программ муниципального образования «Город Астрахань» и (или) целей социально-экономической политики муниципального образования «Город Астрахань», не относящихся к муниципальным и ведомственным целевым</w:t>
      </w:r>
      <w:proofErr w:type="gramEnd"/>
      <w:r w:rsidRPr="003A51B6">
        <w:rPr>
          <w:spacing w:val="0"/>
        </w:rPr>
        <w:t xml:space="preserve"> программам муниципального образования «Город Астрахань».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4. Оценка налоговых расходов осуществляется куратором налоговых расходов муниципального образования «Город Астрахань» (далее - куратор налогового расхода) в соответствии с настоящим Порядком.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5. Оценка эффективности налоговых расходов осуществляется кураторами налоговых расходов и включает: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- оценку целесообразности налоговых расходов;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- оценку результативности налоговых расходов. 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6. Критериями целесообразности налоговых расходов являются: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A51B6">
        <w:rPr>
          <w:spacing w:val="0"/>
        </w:rPr>
        <w:t>- соответствие налоговых расходов целям муниципальных и ведомственных целевых программ муниципального образования «Город Астрахань», структурным элементам муниципальных и ведомственных целевым программ муниципального образования «Город Астрахань» и (или) целям социально-экономического развития муниципального образования «Город Астрахань», не относящимся к муниципальным и ведомственным целевым программам муниципального образования «Город Астрахань»;</w:t>
      </w:r>
      <w:proofErr w:type="gramEnd"/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- востребованность плательщиками предоставленных налоговых льгот, освобождений и иных преференций по налогам (далее - льготы), которая характеризуется соотношением численности плательщиков, воспользовавшихся правом на льготы, и общей численности плательщиков, за 5-летний период. 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Кураторы налоговых расходов вправе устанавливать дополнительные критерии целесообразности предоставления льгот для плательщиков. 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7. В случае несоответствия налоговых расходов хотя бы одному из критериев, указанных в пункте 6 настоящего Порядка, куратору налогового расхода надлежит представить в финансово-казначейское управление администрации муниципального образования «Город Астрахань» (далее - ФКУ) предложения о сохранении (уточнении, отмене) льгот для плательщиков. 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8. </w:t>
      </w:r>
      <w:proofErr w:type="gramStart"/>
      <w:r w:rsidRPr="003A51B6">
        <w:rPr>
          <w:spacing w:val="0"/>
        </w:rPr>
        <w:t>В качестве критерия результативности налогового расхода определяется как минимум один показатель эффективности и результативности реализации муниципальных и ведомственных целевых программ муниципального образования «Город Астрахань», ее структурных элементов и (или) целевого ориентира и его целевого значения достижения цели социально-экономического развития муниципального образования «Город Астрахань», не относящейся к муниципальным и ведомственным целевым программам муниципального образования «Город Астрахань», либо иной показатель, на значение</w:t>
      </w:r>
      <w:proofErr w:type="gramEnd"/>
      <w:r w:rsidRPr="003A51B6">
        <w:rPr>
          <w:spacing w:val="0"/>
        </w:rPr>
        <w:t xml:space="preserve"> </w:t>
      </w:r>
      <w:proofErr w:type="gramStart"/>
      <w:r w:rsidRPr="003A51B6">
        <w:rPr>
          <w:spacing w:val="0"/>
        </w:rPr>
        <w:t>которого</w:t>
      </w:r>
      <w:proofErr w:type="gramEnd"/>
      <w:r w:rsidRPr="003A51B6">
        <w:rPr>
          <w:spacing w:val="0"/>
        </w:rPr>
        <w:t xml:space="preserve"> оказывают влияние налоговые расходы.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A51B6">
        <w:rPr>
          <w:spacing w:val="0"/>
        </w:rPr>
        <w:t>Оценке подлежит вклад предусмотренных для плательщиков льгот в изменение значения показателя эффективности и результативности реализации муниципальной, ведомственной целевой программы муниципального образования «Город Астрахань», ее структурных элементов (далее - показатель) и (или) целевого ориентира и его целевого значения достижения цели социально-экономического развития муниципального образования «Город Астрахань», не относящейся к муниципальным и ведомственным целевым программам муниципального образования «Город Астрахань» (далее - целевой ориентир), который</w:t>
      </w:r>
      <w:proofErr w:type="gramEnd"/>
      <w:r w:rsidRPr="003A51B6">
        <w:rPr>
          <w:spacing w:val="0"/>
        </w:rPr>
        <w:t xml:space="preserve"> рассчитывается как разница между значением указанного показателя (целевого ориентира) с учетом льгот и значением указанного показателя (целевого ориентира) без учета льгот. 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9. Оценка результативности налоговых расходов включает оценку бюджетной эффективности налоговых расходов. 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10. </w:t>
      </w:r>
      <w:proofErr w:type="gramStart"/>
      <w:r w:rsidRPr="003A51B6">
        <w:rPr>
          <w:spacing w:val="0"/>
        </w:rPr>
        <w:t xml:space="preserve">В целях оценки бюджетной эффективности налоговых расходов осуществляется сравнительный анализ результативности предоставления льгот и результативности применения альтернативных механизмов достижения целей муниципальной и ведомственной целевой программы муниципального образования «Город Астрахань» и (или) целей социально-экономического развития муниципального образования «Город Астрахань», не относящихся к муниципальным и ведомственным целевым программам муниципального образования «Город Астрахань», а также оценка совокупного бюджетного эффекта (самоокупаемости) стимулирующих налоговых расходов. </w:t>
      </w:r>
      <w:proofErr w:type="gramEnd"/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lastRenderedPageBreak/>
        <w:t xml:space="preserve">11. </w:t>
      </w:r>
      <w:proofErr w:type="gramStart"/>
      <w:r w:rsidRPr="003A51B6">
        <w:rPr>
          <w:spacing w:val="0"/>
        </w:rPr>
        <w:t>Сравнительный анализ включает сравнение объемов расходов бюджета муниципального образования «Город Астрахань» в случае применения альтернативных механизмов достижения целей муниципальной и ведомственной целевой программы муниципального образования «Город Астрахань» и (или) целей социально-экономического развития муниципального образования «Город Астрахань», не относящихся к муниципальным и ведомственным целевым программам муниципального образования «Город Астрахань», и объемов предоставленных льгот (расчет прироста показателя (целевого ориентира) на 1 рубль</w:t>
      </w:r>
      <w:proofErr w:type="gramEnd"/>
      <w:r w:rsidRPr="003A51B6">
        <w:rPr>
          <w:spacing w:val="0"/>
        </w:rPr>
        <w:t xml:space="preserve"> налоговых расходов и на 1 рубль расходов бюджета муниципального образования «Город Астрахань» для достижения того же показателя (целевого ориентира) в случае применения альтернативных механизмов).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В качестве альтернативных механизмов достижения целей муниципальной и ведомственной целевой программы муниципального образования «Город Астрахань» и (или) целей социально-экономического развития муниципального образования «Город Астрахань», не относящихся к муниципальным и ведомственным целевым программам муниципального образования «Город Астрахань», могут учитываться в том числе: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- субсидии или иные формы непосредственной финансовой поддержки плательщиков, имеющих право на льготы, за счет средств бюджета муниципального образования «Город Астрахань»;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- предоставление государственных гарантий муниципального образования «Город Астрахань» по обязательствам плательщиков, имеющих право на льготы;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- совершенствование нормативного регулирования и (или) порядка осуществления контрольно-надзорных функций в сфере деятельности плательщиков, имеющих право на льготы.</w:t>
      </w:r>
    </w:p>
    <w:p w:rsidR="00180BE0" w:rsidRPr="0086310E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12. В целях оценки бюджетной эффективности стимулирующих налоговых расходов, обусловленных льготами, наряду со сравнительным анализом, указанным в пункте 11 настоящего Порядка, куратору налоговых расходов рекомендуется рассчитывать оценку совокупного бюджетного эффекта (самоокупаемости) указанных налоговых расходов в соответствии с пунктом 13 настоящего Порядка. Показатель оценки совокупного эффекта (самоокупаемости) является одним из критериев </w:t>
      </w:r>
      <w:r w:rsidRPr="0086310E">
        <w:rPr>
          <w:spacing w:val="0"/>
        </w:rPr>
        <w:t xml:space="preserve">для определения результативности налоговых расходов. </w:t>
      </w:r>
    </w:p>
    <w:p w:rsidR="00180BE0" w:rsidRPr="0086310E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86310E">
        <w:rPr>
          <w:spacing w:val="0"/>
        </w:rPr>
        <w:t xml:space="preserve">Оценка совокупного бюджетного эффекта (самоокупаемости) стимулирующих налоговых расходов определяется отдельно по каждому налоговому расходу. В случае если для отдельных категорий плательщиков, имеющих право на льготы, предоставлены льготы по нескольким видам налогов, оценка совокупного бюджетного эффекта (самоокупаемости) налоговых расходов определяется в целом по указанной категории плательщиков. </w:t>
      </w:r>
    </w:p>
    <w:p w:rsidR="00180BE0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86310E">
        <w:rPr>
          <w:spacing w:val="0"/>
        </w:rPr>
        <w:t>13. Оценка совокупного бюджетного эффекта (самоокупаемости) стимулирующих налоговых расходов определяется за период с начала действия для плательщиков соответствующих льгот или за 5 отчетных лет, а в случае если указанные льготы действуют более 6 лет, - на день осуществления оценки эффективности налогового расхода (Е) по следующей формуле:</w:t>
      </w:r>
    </w:p>
    <w:p w:rsidR="0086310E" w:rsidRPr="003A51B6" w:rsidRDefault="0086310E" w:rsidP="0086310E">
      <w:pPr>
        <w:pStyle w:val="a3"/>
        <w:spacing w:line="240" w:lineRule="auto"/>
        <w:ind w:firstLine="0"/>
        <w:jc w:val="left"/>
        <w:rPr>
          <w:spacing w:val="0"/>
        </w:rPr>
      </w:pPr>
      <w:r>
        <w:rPr>
          <w:noProof/>
          <w:lang w:eastAsia="ru-RU"/>
        </w:rPr>
        <w:drawing>
          <wp:inline distT="0" distB="0" distL="0" distR="0" wp14:anchorId="18955FF8" wp14:editId="358F6225">
            <wp:extent cx="5216904" cy="397192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t="1" b="35419"/>
                    <a:stretch/>
                  </pic:blipFill>
                  <pic:spPr bwMode="auto">
                    <a:xfrm>
                      <a:off x="0" y="0"/>
                      <a:ext cx="5216904" cy="3971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6310E" w:rsidRDefault="0086310E" w:rsidP="0086310E">
      <w:pPr>
        <w:pStyle w:val="a3"/>
        <w:spacing w:line="240" w:lineRule="auto"/>
        <w:ind w:firstLine="0"/>
        <w:jc w:val="left"/>
        <w:rPr>
          <w:noProof/>
          <w:lang w:eastAsia="ru-RU"/>
        </w:rPr>
      </w:pPr>
    </w:p>
    <w:p w:rsidR="00180BE0" w:rsidRPr="003A51B6" w:rsidRDefault="0086310E" w:rsidP="0086310E">
      <w:pPr>
        <w:pStyle w:val="a3"/>
        <w:spacing w:line="240" w:lineRule="auto"/>
        <w:ind w:firstLine="0"/>
        <w:jc w:val="left"/>
        <w:rPr>
          <w:spacing w:val="0"/>
        </w:rPr>
      </w:pPr>
      <w:r>
        <w:rPr>
          <w:noProof/>
          <w:lang w:eastAsia="ru-RU"/>
        </w:rPr>
        <w:lastRenderedPageBreak/>
        <w:drawing>
          <wp:inline distT="0" distB="0" distL="0" distR="0" wp14:anchorId="7F21DF32" wp14:editId="517C8590">
            <wp:extent cx="5216906" cy="214312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t="64399"/>
                    <a:stretch/>
                  </pic:blipFill>
                  <pic:spPr bwMode="auto">
                    <a:xfrm>
                      <a:off x="0" y="0"/>
                      <a:ext cx="5227106" cy="21473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310E" w:rsidRDefault="0086310E" w:rsidP="0086310E">
      <w:pPr>
        <w:pStyle w:val="a3"/>
        <w:spacing w:line="240" w:lineRule="auto"/>
        <w:ind w:firstLine="0"/>
        <w:jc w:val="left"/>
        <w:rPr>
          <w:spacing w:val="0"/>
        </w:rPr>
      </w:pPr>
      <w:r>
        <w:rPr>
          <w:noProof/>
          <w:lang w:eastAsia="ru-RU"/>
        </w:rPr>
        <w:drawing>
          <wp:inline distT="0" distB="0" distL="0" distR="0" wp14:anchorId="18955FF8" wp14:editId="358F6225">
            <wp:extent cx="5216904" cy="382905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t="1" b="35419"/>
                    <a:stretch/>
                  </pic:blipFill>
                  <pic:spPr bwMode="auto">
                    <a:xfrm>
                      <a:off x="0" y="0"/>
                      <a:ext cx="5216904" cy="3829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15. По итогам оценки эффективности налогового расхода кураторы налоговых расходов: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A51B6">
        <w:rPr>
          <w:spacing w:val="0"/>
        </w:rPr>
        <w:t>- формулируют в произвольной письменной форме в виде аналитической записки выводы о достижении целевых характеристик налогового расхода, вкладе налогового расхода в достижение целей муниципальной и ведомственной целевой программы муниципального образования «Город Астрахань» и (или) целей социально-экономического развития муниципального образования «Город Астрахань», не относящихся к муниципальным и ведомственным целевым программам муниципального образования «Город Астрахань», а также о наличии или об отсутствии более</w:t>
      </w:r>
      <w:proofErr w:type="gramEnd"/>
      <w:r w:rsidRPr="003A51B6">
        <w:rPr>
          <w:spacing w:val="0"/>
        </w:rPr>
        <w:t xml:space="preserve"> результативных (менее затратных для бюджета муниципального образования «Город Астрахань») альтернативных механизмов достижения целей муниципальной и ведомственной целевой программы муниципального образования «Город Астрахань» и (или) целей социально-экономического развития муниципального образования «Город Астрахань», не относящихся к муниципальным и ведомственным целевым программам муниципального образования «Город Астрахань»;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- ежегодно, до 26 июля текущего финансового года, направляют в ФКУ аналитическую записку, указанную в абзаце втором настоящего пункта.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16. ФКУ на основе данных, представленных кураторами налоговых расходов в соответствии с пунктом 15 настоящего Порядка: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- обобщает результаты оценки эффективности налоговых расходов в произвольной письменной форме в виде отчета об оценке эффективности налоговых расходов муниципального образования «Город Астрахань»;</w:t>
      </w:r>
    </w:p>
    <w:p w:rsidR="00180BE0" w:rsidRPr="003A51B6" w:rsidRDefault="00180BE0" w:rsidP="00180BE0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- ежегодно, до 1 сентября текущего финансового года, направляет главе администрации муниципального образования «Город Астрахань» отчет об оценке эффективности налоговых расходов муниципального образования «Город Астрахань».</w:t>
      </w:r>
    </w:p>
    <w:p w:rsidR="001B6F66" w:rsidRDefault="001B6F66"/>
    <w:sectPr w:rsidR="001B6F66" w:rsidSect="0086310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BE0"/>
    <w:rsid w:val="00180BE0"/>
    <w:rsid w:val="001B6F66"/>
    <w:rsid w:val="00863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80B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80B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631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31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80B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80B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631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31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1800</Words>
  <Characters>10263</Characters>
  <Application>Microsoft Office Word</Application>
  <DocSecurity>0</DocSecurity>
  <Lines>85</Lines>
  <Paragraphs>24</Paragraphs>
  <ScaleCrop>false</ScaleCrop>
  <Company/>
  <LinksUpToDate>false</LinksUpToDate>
  <CharactersWithSpaces>12039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2020-02-26T12:38:00Z</dcterms:created>
  <dcterms:modified xsi:type="dcterms:W3CDTF">2020-02-26T12:49:00Z</dcterms:modified>
</cp:coreProperties>
</file>