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>ПОСТАНОВЛЕНИЕ</w:t>
      </w:r>
    </w:p>
    <w:p w:rsidR="00F562FA" w:rsidRPr="00561BA2" w:rsidRDefault="00F562FA" w:rsidP="00F562FA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561BA2">
        <w:rPr>
          <w:spacing w:val="0"/>
        </w:rPr>
        <w:t>27 января 2020 года № 11</w:t>
      </w:r>
    </w:p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>«О внесении изменений в постановление администрации</w:t>
      </w:r>
    </w:p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 xml:space="preserve"> муниципального образования «Город Астрахань» </w:t>
      </w:r>
    </w:p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>от 18.12.2015 № 8913»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proofErr w:type="gramStart"/>
      <w:r w:rsidRPr="00561BA2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от 16.07.2019 № 1784-р, ПОСТАНОВЛЯЮ:</w:t>
      </w:r>
      <w:proofErr w:type="gramEnd"/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Внести в постановление администрации муниципального образования «Город Астрахань» от 18.12.2015 № 8913 «Об утверждении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с изменениями, внесенными постановлениями администрации муниципального образования «Город Астрахань» от 11.03.2016 № 1416, от 30.05.2016 № 3416, от 12.08.2016 № 5305, от 24.11.2016 № 8063, от 30.12.2016 № 8955, от 11.04.2017 № 2117, от 24.05.2017 № 3180, от 24.08.2017</w:t>
      </w:r>
      <w:proofErr w:type="gramEnd"/>
      <w:r w:rsidRPr="00561BA2">
        <w:rPr>
          <w:spacing w:val="0"/>
        </w:rPr>
        <w:t xml:space="preserve"> № </w:t>
      </w:r>
      <w:proofErr w:type="gramStart"/>
      <w:r w:rsidRPr="00561BA2">
        <w:rPr>
          <w:spacing w:val="0"/>
        </w:rPr>
        <w:t>4881, от 14.09.2017 № 5204, от 14.12.2017 № 5947, от 06.03.2018 № 164, от 30.05.2018 № 319, от 28.06.2018 № 408, от 18.10.2018 № 608, от 06.02.2019 № 44, от 05.04.2019 № 151, от 15.04.2019 № 170; от 08.08.2019 № 336, от 16.12.2019 № 456, следующие изменения:</w:t>
      </w:r>
      <w:proofErr w:type="gramEnd"/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приложение 2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к программе признать утратившими силу.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 xml:space="preserve">1.3. </w:t>
      </w:r>
      <w:proofErr w:type="gramStart"/>
      <w:r w:rsidRPr="00561BA2">
        <w:rPr>
          <w:spacing w:val="0"/>
        </w:rPr>
        <w:t>Прилагаемые к настоящему постановлению администрации муниципального образования «Город Астрахань»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Астрахань», приложение 3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считать приложениями 1 и 2 к муниципальной программе муниципального образования «Город Астрахань» «Повышение уровня благоустройства</w:t>
      </w:r>
      <w:proofErr w:type="gramEnd"/>
      <w:r w:rsidRPr="00561BA2">
        <w:rPr>
          <w:spacing w:val="0"/>
        </w:rPr>
        <w:t xml:space="preserve"> и улучшение санитарного состояния города Астрахани».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 xml:space="preserve">2.2.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 xml:space="preserve">5.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</w:t>
      </w:r>
    </w:p>
    <w:p w:rsidR="00F562FA" w:rsidRPr="00561BA2" w:rsidRDefault="00F562FA" w:rsidP="00F562FA">
      <w:pPr>
        <w:pStyle w:val="a6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F562FA" w:rsidRDefault="00F562FA" w:rsidP="00F562FA">
      <w:pPr>
        <w:pStyle w:val="a6"/>
        <w:spacing w:before="57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F562FA" w:rsidRPr="00561BA2" w:rsidRDefault="00F562FA" w:rsidP="00F562FA">
      <w:pPr>
        <w:pStyle w:val="a6"/>
        <w:spacing w:before="57"/>
        <w:ind w:left="2835" w:firstLine="0"/>
        <w:rPr>
          <w:spacing w:val="0"/>
        </w:rPr>
      </w:pPr>
      <w:r w:rsidRPr="00561BA2">
        <w:rPr>
          <w:spacing w:val="0"/>
        </w:rPr>
        <w:lastRenderedPageBreak/>
        <w:t xml:space="preserve">Приложение 1 к постановлению администрации </w:t>
      </w:r>
    </w:p>
    <w:p w:rsidR="00F562FA" w:rsidRPr="00561BA2" w:rsidRDefault="00F562FA" w:rsidP="00F562FA">
      <w:pPr>
        <w:pStyle w:val="a6"/>
        <w:ind w:left="2835" w:firstLine="0"/>
        <w:rPr>
          <w:spacing w:val="0"/>
        </w:rPr>
      </w:pPr>
      <w:r w:rsidRPr="00561BA2">
        <w:rPr>
          <w:spacing w:val="0"/>
        </w:rPr>
        <w:t>муниципального образования «Город Астрахань»</w:t>
      </w:r>
    </w:p>
    <w:p w:rsidR="00F562FA" w:rsidRPr="00561BA2" w:rsidRDefault="00F562FA" w:rsidP="00F562FA">
      <w:pPr>
        <w:pStyle w:val="a6"/>
        <w:ind w:left="2835" w:firstLine="0"/>
        <w:rPr>
          <w:spacing w:val="0"/>
        </w:rPr>
      </w:pPr>
      <w:r w:rsidRPr="00561BA2">
        <w:rPr>
          <w:spacing w:val="0"/>
        </w:rPr>
        <w:t>от 27.01.2020 № 11</w:t>
      </w:r>
    </w:p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>Изменения, вносимые в постановление администрации</w:t>
      </w:r>
    </w:p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 xml:space="preserve"> муниципального образования «Город Астрахань»</w:t>
      </w:r>
    </w:p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 xml:space="preserve"> от 18.12.2015 № 8913 «Об утверждении муниципальной программы</w:t>
      </w:r>
    </w:p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 xml:space="preserve"> муниципального образования «Город Астрахань» </w:t>
      </w:r>
    </w:p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 xml:space="preserve">«Повышение уровня благоустройства </w:t>
      </w:r>
    </w:p>
    <w:p w:rsidR="00F562FA" w:rsidRPr="00561BA2" w:rsidRDefault="00F562FA" w:rsidP="00F562FA">
      <w:pPr>
        <w:pStyle w:val="3"/>
        <w:rPr>
          <w:spacing w:val="0"/>
        </w:rPr>
      </w:pPr>
      <w:r w:rsidRPr="00561BA2">
        <w:rPr>
          <w:spacing w:val="0"/>
        </w:rPr>
        <w:t>и улучшение санитарного состояния города Астрахани»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1. Паспорт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8"/>
        <w:gridCol w:w="5755"/>
      </w:tblGrid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Наименование муниципальной программы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Муниципальная программа муниципального образования «Город Астрахань» «Повышение уровня благоустройства и улучшение санитарного состояния города Астрахани» (далее - Программа)</w:t>
            </w:r>
          </w:p>
        </w:tc>
      </w:tr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Основание для разработки муниципальной программы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Перечень муниципальных программ муниципального образования «Город Астрахань», утвержденный распоряжением администрации муниципального образования «Город Астрахань» № 607-р от 27.05.2015 «Об утверждении Перечня муниципальных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 от 16.07.2019 № 1784-р</w:t>
            </w:r>
          </w:p>
        </w:tc>
      </w:tr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Ответственный исполнитель муниципальной программы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Соисполнитель муниципальной программы (участник)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 xml:space="preserve">Администрация Ленинского района, администрация Советского района, администрация Кировского района, администрация </w:t>
            </w:r>
            <w:proofErr w:type="spellStart"/>
            <w:r w:rsidRPr="00561BA2">
              <w:rPr>
                <w:w w:val="100"/>
              </w:rPr>
              <w:t>Трусовского</w:t>
            </w:r>
            <w:proofErr w:type="spellEnd"/>
            <w:r w:rsidRPr="00561BA2">
              <w:rPr>
                <w:w w:val="100"/>
              </w:rPr>
              <w:t xml:space="preserve"> района города Астрахани, управление экономического развития муниципального образования «Город Астрахань», управление по капитальному строительству администрации муниципального образования «Город Астрахань»</w:t>
            </w:r>
          </w:p>
        </w:tc>
      </w:tr>
    </w:tbl>
    <w:p w:rsidR="00F562FA" w:rsidRPr="00561BA2" w:rsidRDefault="00F562FA" w:rsidP="00F562FA">
      <w:pPr>
        <w:pStyle w:val="a6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8"/>
        <w:gridCol w:w="5732"/>
      </w:tblGrid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5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 xml:space="preserve">Основное мероприятие 1.1.1 «Организация и обеспечение надлежащей </w:t>
            </w:r>
            <w:proofErr w:type="gramStart"/>
            <w:r w:rsidRPr="00561BA2">
              <w:rPr>
                <w:w w:val="100"/>
              </w:rPr>
              <w:t>эксплуатации</w:t>
            </w:r>
            <w:proofErr w:type="gramEnd"/>
            <w:r w:rsidRPr="00561BA2">
              <w:rPr>
                <w:w w:val="100"/>
              </w:rPr>
              <w:t xml:space="preserve"> и содержание мест захоронений».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Основное мероприятие 1.2.1 «Освобождение земельных участков от незаконно установленных строений».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Основное мероприятие 1.3.1. «Приобретение техники в лизинг».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Основное мероприятие 1.5.1. «Погашение кредиторской задолженности муниципальных унитарных предприятий перед поставщиками за потребленный природный газ».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Подпрограмма 1 «Благоустройство территорий города для обеспечения отдыха и досуга жителей».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Подпрограмма 2 «Формирование современной городской среды»</w:t>
            </w:r>
          </w:p>
        </w:tc>
      </w:tr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Задачи муниципальной программы</w:t>
            </w:r>
          </w:p>
        </w:tc>
        <w:tc>
          <w:tcPr>
            <w:tcW w:w="5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1. Содержание, строительство и благоустройство мест захоронений.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2. Благоустройство городских территорий, освобожденных от незаконно установленных строений.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3. Поддержание благоприятных и комфортных условий для отдыха и досуга жителей города.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4. Повышение качества и комфорта городской среды на территории города Астрахани.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5. Повышение уровня материальной обеспеченности и качества эксплуатации коммунальной инфраструктуры</w:t>
            </w:r>
          </w:p>
        </w:tc>
      </w:tr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Целевые показатели (индикаторы) программы</w:t>
            </w:r>
          </w:p>
        </w:tc>
        <w:tc>
          <w:tcPr>
            <w:tcW w:w="5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- доля благоустроенной территории муниципального образования «Город Астрахань»;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- доля благоустроенных мест захоронений от общего количества мест захоронений;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- доля благоустроенных городских территорий от общей площади освобожденных территорий;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- удовлетворение потребностей жителей города в комфортных условиях для отдыха и досуга;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- уровень благоустроенных территорий общего пользования (парки, скверы, набережные и т.д.) и дворовых территорий, участвующих в Подпрограмме;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 xml:space="preserve">- обеспечение населения </w:t>
            </w:r>
            <w:proofErr w:type="spellStart"/>
            <w:r w:rsidRPr="00561BA2">
              <w:rPr>
                <w:w w:val="100"/>
              </w:rPr>
              <w:t>теплоэнергией</w:t>
            </w:r>
            <w:proofErr w:type="spellEnd"/>
          </w:p>
        </w:tc>
      </w:tr>
    </w:tbl>
    <w:p w:rsidR="00F562FA" w:rsidRPr="00561BA2" w:rsidRDefault="00F562FA" w:rsidP="00F562FA">
      <w:pPr>
        <w:pStyle w:val="a6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7"/>
        <w:gridCol w:w="5733"/>
      </w:tblGrid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 xml:space="preserve">Сроки и этапы реализации </w:t>
            </w:r>
            <w:r w:rsidRPr="00561BA2">
              <w:rPr>
                <w:w w:val="100"/>
              </w:rPr>
              <w:lastRenderedPageBreak/>
              <w:t>муниципальной программы</w:t>
            </w:r>
          </w:p>
        </w:tc>
        <w:tc>
          <w:tcPr>
            <w:tcW w:w="5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lastRenderedPageBreak/>
              <w:t>2016-2023 годы</w:t>
            </w:r>
          </w:p>
        </w:tc>
      </w:tr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lastRenderedPageBreak/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73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Общий объем финансирования муниципальной программы составляет 3 598 016 129,92 руб., из них: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Бюджет МО «Город Астрахань» - 2 937 616 843,73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- 384 505 850,44руб.;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- 439 151 691,36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- 478 637 326,45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- 551 075 951,84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- 524 038 995,00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2021 год - 524 038 995,00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2022 год - 19 719 007,44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2023 год - 16 449 026,20 руб.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Бюджет Астраханской области - 559 961 166,19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- 6 205 500,00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- 44 705 596,89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- 8 111 483,30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- 494 801 684,00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- 3 068 451,00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2021 год - 3 068 451,00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2022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2023 год - 0,00 руб.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Федеральный бюджет - 100 438 120,00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- 100 438 120,00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- 0,00 руб.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В том числе: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 xml:space="preserve">Основное мероприятие 1.1.1 «Организация и обеспечение надлежащей </w:t>
            </w:r>
            <w:proofErr w:type="gramStart"/>
            <w:r w:rsidRPr="00561BA2">
              <w:rPr>
                <w:w w:val="100"/>
              </w:rPr>
              <w:t>эксплуатации</w:t>
            </w:r>
            <w:proofErr w:type="gramEnd"/>
            <w:r w:rsidRPr="00561BA2">
              <w:rPr>
                <w:w w:val="100"/>
              </w:rPr>
              <w:t xml:space="preserve"> и содержание мест захоронений» - 87 482 179,90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- 9 533 300,55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- 13 147 554,71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- 12 371 408,29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- 15 707 042,35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- 18 361 437,00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2021 год - 18 361 437,00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2022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2023 год - 0,00 руб.</w:t>
            </w:r>
          </w:p>
        </w:tc>
      </w:tr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3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Основное мероприятие 1.2.1 «Освобождение земельных участков от незаконно установленных строений» - 16 630 272,99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- 2 083 420,55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- 1 607 599,44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- 2 916 359,91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- 2 969 561,09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- 3 526 666,00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2021 год - 3 526 666,00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2022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2023 год - 0,00 руб.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Основное мероприятие 1.3.1 «Приобретение техники в лизинг» - 105 788 033,64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- 10 460 000, 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- 19 720 000,00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- 19 720 000,00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2021 год - 19 720 000,00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2022 год - 19 719 007,44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2023 год - 16 449 026,20 руб.</w:t>
            </w:r>
          </w:p>
        </w:tc>
      </w:tr>
    </w:tbl>
    <w:p w:rsidR="00F562FA" w:rsidRPr="00561BA2" w:rsidRDefault="00F562FA" w:rsidP="00F562FA">
      <w:pPr>
        <w:pStyle w:val="a6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1"/>
        <w:gridCol w:w="5739"/>
      </w:tblGrid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Основное мероприятие 1.5.1 «Погашение кредиторской задолженности муниципальных унитарных предприятий перед поставщиками за потребленный природный газ» - 453 904 851,40 руб., в том числе: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Бюджет МО «Город Астрахань» - 453 451,40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- 453 451,40 руб.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Бюджет Астраханской области,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- 453 451 400,00 руб.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lastRenderedPageBreak/>
              <w:t>Подпрограмма 1 «Благоустройство территории города для обеспечения отдыха и досуга жителей» муниципальной программы - 2 794 713 403,10 руб., в том числе: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Бюджет МО «Город Астрахань» - 2 727 262 905,80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- 372 889 129,34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- 424 396 537,21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- 452 889 558,25руб.;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- 512 225 897,00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- 482 430 892,00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2021 год - 482 430 892,00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2022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2023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Бюджет Астраханской области - 67 450 497,30 руб.,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- 6 205 500,00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- 5 646 328,00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- 8 111 483,30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- 41 350 284,00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- 3 068 451,00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2021 год - 3 068 451,00 руб.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Подпрограмма 2 «Формирование современной городской среды» муниципальной программы - 139 497 388,89 руб., в том числе: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Бюджет Астраханской области - 39 059 268,89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- 39 059 268,89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- 0,00 руб.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Федеральный бюджет - 100 438 120,00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- 100 438 120,00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- 0,00 руб.</w:t>
            </w:r>
          </w:p>
        </w:tc>
      </w:tr>
    </w:tbl>
    <w:p w:rsidR="00F562FA" w:rsidRPr="00561BA2" w:rsidRDefault="00F562FA" w:rsidP="00F562FA">
      <w:pPr>
        <w:pStyle w:val="a6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8"/>
        <w:gridCol w:w="5732"/>
      </w:tblGrid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5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- доля благоустроенной территории муниципального образования «Город Астрахань»: в 2016 г. - до 69,50%, 2017-2021 гг. - до 100% (ежегодно);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- доля благоустроенных мест захоронений от общего количества мест захоронений: в 2016 г. - до 98,64%, 2017-2021 гг. - до 100% (ежегодно);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- доля благоустроенных городских территорий от общей площади освобожденных территорий - 100% (ежегодно);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 xml:space="preserve">- обеспечение населения </w:t>
            </w:r>
            <w:proofErr w:type="spellStart"/>
            <w:r w:rsidRPr="00561BA2">
              <w:rPr>
                <w:w w:val="100"/>
              </w:rPr>
              <w:t>теплоэнергией</w:t>
            </w:r>
            <w:proofErr w:type="spellEnd"/>
            <w:r w:rsidRPr="00561BA2">
              <w:rPr>
                <w:w w:val="100"/>
              </w:rPr>
              <w:t>: в 2019 г. - до 100%;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- удовлетворение потребностей жителей города в комфортных условиях для отдыха и досуга: в 2016 г. - до 76,87%, в 2017-2021 гг. - 100% (ежегодно);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- уровень благоустроенных территорий общего пользования (парки, скверы, набережные и т.д.) и дворовых территорий, участвующих в Подпрограмме, в 2017 г. - до 100%</w:t>
            </w:r>
          </w:p>
        </w:tc>
      </w:tr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 xml:space="preserve">Система организации </w:t>
            </w:r>
            <w:proofErr w:type="gramStart"/>
            <w:r w:rsidRPr="00561BA2">
              <w:rPr>
                <w:w w:val="100"/>
              </w:rPr>
              <w:t>контроля за</w:t>
            </w:r>
            <w:proofErr w:type="gramEnd"/>
            <w:r w:rsidRPr="00561BA2">
              <w:rPr>
                <w:w w:val="100"/>
              </w:rPr>
              <w:t xml:space="preserve"> исполнением подпрограммы муниципальной программы</w:t>
            </w:r>
          </w:p>
        </w:tc>
        <w:tc>
          <w:tcPr>
            <w:tcW w:w="5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proofErr w:type="gramStart"/>
            <w:r w:rsidRPr="00561BA2">
              <w:rPr>
                <w:w w:val="100"/>
              </w:rPr>
              <w:t>Контроль за</w:t>
            </w:r>
            <w:proofErr w:type="gramEnd"/>
            <w:r w:rsidRPr="00561BA2">
              <w:rPr>
                <w:w w:val="100"/>
              </w:rPr>
              <w:t xml:space="preserve"> исполнением Подпрограммы осуществляет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</w:tbl>
    <w:p w:rsidR="00F562FA" w:rsidRPr="00561BA2" w:rsidRDefault="00F562FA" w:rsidP="00F562FA">
      <w:pPr>
        <w:pStyle w:val="a6"/>
        <w:rPr>
          <w:spacing w:val="0"/>
        </w:rPr>
      </w:pPr>
    </w:p>
    <w:p w:rsidR="00F562FA" w:rsidRPr="00561BA2" w:rsidRDefault="00F562FA" w:rsidP="00F562FA">
      <w:pPr>
        <w:pStyle w:val="a6"/>
        <w:rPr>
          <w:spacing w:val="0"/>
        </w:rPr>
      </w:pP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2. Раздел 3 «Цели, задачи, целевые индикаторы и показатели муниципальной программы, перечень подпрограмм» изложить в следующей редакции: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«3. Цели, задачи, целевые индикаторы и показатели муниципальной программы, перечень подпрограмм.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Основной целью муниципальной программы является поддержание благоустроенности и санитарного состояния муниципального образования «Город Астрахань».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Задачами Программы являются: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- содержание, строительство и благоустройство мест захоронений;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- благоустройство городских территорий, освобожденных от незаконно установленных строений;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- поддержание благоприятных и комфортных условий для отдыха и досуга жителей города;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- повышение качества и комфорта городской среды на территории города Астрахани;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lastRenderedPageBreak/>
        <w:t>- повышение уровня материальной обеспеченности и качества эксплуатации коммунальной инфраструктуры.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Достижение запланированных результатов муниципальной программы характеризуется следующими целевыми показателями: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- доля благоустроенной территории муниципального образования «Город Астрахань»: в 2016 г. - до 69,50%, 2017-2021 гг. - до 100% (ежегодно);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- доля благоустроенных мест захоронений от общего количества мест захоронений: в 2016 г. - до 98,64%, 2017-2021 гг. - до 100% (ежегодно);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- доля благоустроенных городских территорий от общей площади освобожденных территорий - 100% (ежегодно);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 xml:space="preserve">- обеспечение населения </w:t>
      </w:r>
      <w:proofErr w:type="spellStart"/>
      <w:r w:rsidRPr="00561BA2">
        <w:rPr>
          <w:spacing w:val="0"/>
        </w:rPr>
        <w:t>теплоэнергией</w:t>
      </w:r>
      <w:proofErr w:type="spellEnd"/>
      <w:r w:rsidRPr="00561BA2">
        <w:rPr>
          <w:spacing w:val="0"/>
        </w:rPr>
        <w:t>: в 2019 году - до 100%;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- удовлетворение потребностей жителей города в комфортных условиях для отдыха и досуга: в 2016 г. - до 76,87%, в 2017 г. - 100%;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- уровень благоустроенных территорий общего пользования (парки, скверы, набережные и т.д.) и дворовых территорий, участвующих в Подпрограмме, - до 100%.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В состав муниципальной программы входят подпрограмма 1 «Благоустройство территорий города для обеспечения отдыха и досуга жителей», подпрограмма 2 «Формирование современной городской среды» и три основных мероприятия.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Полный перечень показателей (индикаторов) Программы и их значений приведен в приложении 1 к настоящей Программе».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3. Раздел 5 «Перечень программных мероприятий, входящих в муниципальную программу»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«5. Перечень программных мероприятий, входящих в муниципальную программу.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Для достижения поставленной цели и решения задач муниципальной программы сформированы основные мероприятия: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 xml:space="preserve">1. «Организация и обеспечение надлежащей </w:t>
      </w:r>
      <w:proofErr w:type="gramStart"/>
      <w:r w:rsidRPr="00561BA2">
        <w:rPr>
          <w:spacing w:val="0"/>
        </w:rPr>
        <w:t>эксплуатации</w:t>
      </w:r>
      <w:proofErr w:type="gramEnd"/>
      <w:r w:rsidRPr="00561BA2">
        <w:rPr>
          <w:spacing w:val="0"/>
        </w:rPr>
        <w:t xml:space="preserve"> и содержание мест захоронений» (направлено на приведение в надлежащее состояние мест захоронений на территории города Астрахани).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2. «Освобождение земельных участков от незаконно установленных строений» (направлено на благоустройство дворовых территорий).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 xml:space="preserve">3. «Приобретение техники в лизинг» (направлено на улучшение благоустройства и санитарного состояния территории г. Астрахани путем приобретения специализированной техники для механизированной уборки дорог и тротуаров, ремонта асфальтобетонного покрытия, ремонта и содержания </w:t>
      </w:r>
      <w:proofErr w:type="gramStart"/>
      <w:r w:rsidRPr="00561BA2">
        <w:rPr>
          <w:spacing w:val="0"/>
        </w:rPr>
        <w:t>ливне-дренажной</w:t>
      </w:r>
      <w:proofErr w:type="gramEnd"/>
      <w:r w:rsidRPr="00561BA2">
        <w:rPr>
          <w:spacing w:val="0"/>
        </w:rPr>
        <w:t xml:space="preserve"> канализации).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«Погашение кредиторской задолженности муниципальных унитарных предприятий перед поставщиками за потребленный природный газ» (направлено на повышение уровня материальной обеспеченности и качества эксплуатации коммунальной инфраструктуры.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Финансовая поддержка из бюджета муниципального образования «Город Астрахань» на реализацию основного мероприятия оказывается в форме субсидий в соответствии с порядком, утвержденным нормативным правовым актом администрации муниципального образования «Город Астрахань»).</w:t>
      </w:r>
      <w:proofErr w:type="gramEnd"/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4. Раздел 6 «Ресурсное обеспечение муниципальной программы»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«6. Ресурсное обеспечение муниципальной программы.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Общий объем финансирования муниципальной программы составляет 3 598 016 129,92 руб., из них: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Бюджет МО «Город Астрахань» - 2 937 616 843,73 руб., в том числе по годам: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2016 год - 384 505 850,44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2017 год - 439 151 691,36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2018 год - 478 637 326,45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2019 год - 551 075 951,84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2020 год - 524 038 995,00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2021 год - 524 038 995,00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2022 год - 19 719 007,44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2023 год - 16 449 026,20 руб.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Бюджет Астраханской области - 559 961 166,19 руб., в том числе по годам: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2016 год - 6 205 500,00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2017 год - 44 705 596,89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2018 год - 8 111 483,30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2019 год - 494 801 684,00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2020 год - 3 068 451,00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2021 год - 3 068 451,00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2022 год - 0,00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2023 год - 0,00 руб.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Федеральный бюджет - 100 438 120,00 руб., в том числе по годам: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2016 год - 0,00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lastRenderedPageBreak/>
        <w:t>2017 год - 100 438 120,00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2018 год - 0,00 руб.;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2019 год - 0,00 руб.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Распределение расходов на реализацию муниципальной программы представлено в приложении 2 к Программе».</w:t>
      </w: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5. Пункт «Объемы и источники финансирования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4"/>
        <w:gridCol w:w="5926"/>
      </w:tblGrid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3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Подпрограмма 1 «Благоустройство территории города для обеспечения отдыха и досуга жителей» муниципальной программ - 2 794 713 403,10 руб., в том числе: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Бюджет МО «Город Астрахань» - 2 727 262 905,80 руб., в том числе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- 372 889 129,34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- 424 396 537,21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- 452 889 558,25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- 512 225 897,00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- 482 430 892,00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2021 год - 482 430 892,00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2022 год - 0,00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 xml:space="preserve">2023 год - 0,00 руб.; 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Бюджет Астраханской области - 67 450 497,30 руб., по годам: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 год - 6 205 500,00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 год - 5 646 328,00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 год - 8 111 483,30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 год - 41 350 284,00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 год - 3 068 451,00 руб.;</w:t>
            </w:r>
          </w:p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2021 год - 3 068 451,00 руб.</w:t>
            </w:r>
          </w:p>
        </w:tc>
      </w:tr>
    </w:tbl>
    <w:p w:rsidR="00F562FA" w:rsidRPr="00561BA2" w:rsidRDefault="00F562FA" w:rsidP="00F562FA">
      <w:pPr>
        <w:pStyle w:val="a6"/>
        <w:rPr>
          <w:spacing w:val="0"/>
        </w:rPr>
      </w:pPr>
    </w:p>
    <w:p w:rsidR="00F562FA" w:rsidRPr="00561BA2" w:rsidRDefault="00F562FA" w:rsidP="00F562FA">
      <w:pPr>
        <w:pStyle w:val="a6"/>
        <w:rPr>
          <w:spacing w:val="0"/>
        </w:rPr>
      </w:pPr>
    </w:p>
    <w:p w:rsidR="00F562FA" w:rsidRPr="00561BA2" w:rsidRDefault="00F562FA" w:rsidP="00F562FA">
      <w:pPr>
        <w:pStyle w:val="a6"/>
        <w:ind w:firstLine="709"/>
        <w:rPr>
          <w:spacing w:val="0"/>
        </w:rPr>
      </w:pPr>
      <w:r w:rsidRPr="00561BA2">
        <w:rPr>
          <w:spacing w:val="0"/>
        </w:rPr>
        <w:t>6. В разделе 4 «Обоснования объема финансовых ресурсов, необходимых для реализации Подпрограммы 1»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таблицу «Объем средств, направляемых на реализацию Подпрограммы 1» изложить в следующей редакции:</w:t>
      </w:r>
    </w:p>
    <w:p w:rsidR="00F562FA" w:rsidRDefault="00F562FA" w:rsidP="00F562FA">
      <w:pPr>
        <w:pStyle w:val="a6"/>
        <w:jc w:val="center"/>
        <w:rPr>
          <w:b/>
          <w:bCs/>
          <w:spacing w:val="0"/>
        </w:rPr>
      </w:pPr>
    </w:p>
    <w:p w:rsidR="00F562FA" w:rsidRPr="00561BA2" w:rsidRDefault="00F562FA" w:rsidP="00F562FA">
      <w:pPr>
        <w:pStyle w:val="a6"/>
        <w:jc w:val="center"/>
        <w:rPr>
          <w:spacing w:val="0"/>
        </w:rPr>
      </w:pPr>
      <w:r w:rsidRPr="00561BA2">
        <w:rPr>
          <w:b/>
          <w:bCs/>
          <w:spacing w:val="0"/>
        </w:rPr>
        <w:t>«Объем средств, направляемых на реализацию Подпрограммы 1</w:t>
      </w:r>
    </w:p>
    <w:p w:rsidR="00F562FA" w:rsidRPr="00561BA2" w:rsidRDefault="00F562FA" w:rsidP="00F562FA">
      <w:pPr>
        <w:pStyle w:val="a6"/>
        <w:jc w:val="right"/>
        <w:rPr>
          <w:spacing w:val="0"/>
        </w:rPr>
      </w:pPr>
      <w:r w:rsidRPr="00561BA2">
        <w:rPr>
          <w:spacing w:val="0"/>
        </w:rPr>
        <w:t>(руб.)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8"/>
        <w:gridCol w:w="624"/>
        <w:gridCol w:w="623"/>
        <w:gridCol w:w="624"/>
        <w:gridCol w:w="623"/>
        <w:gridCol w:w="624"/>
        <w:gridCol w:w="624"/>
        <w:gridCol w:w="623"/>
      </w:tblGrid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Источник финансирования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2018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2019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2021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Всего</w:t>
            </w:r>
          </w:p>
        </w:tc>
      </w:tr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 xml:space="preserve">Бюджет </w:t>
            </w:r>
            <w:proofErr w:type="gramStart"/>
            <w:r w:rsidRPr="00561BA2">
              <w:rPr>
                <w:w w:val="100"/>
              </w:rPr>
              <w:t>муниципа­льного</w:t>
            </w:r>
            <w:proofErr w:type="gramEnd"/>
            <w:r w:rsidRPr="00561BA2">
              <w:rPr>
                <w:w w:val="100"/>
              </w:rPr>
              <w:t xml:space="preserve"> образования «Город Астрахань»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372 889 129,34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424 396 537,21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452 889 558,25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512 225 897,00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482 430 892,00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482 430 892,00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561BA2">
              <w:rPr>
                <w:w w:val="100"/>
              </w:rPr>
              <w:t>2 727 262 905,80</w:t>
            </w:r>
          </w:p>
        </w:tc>
      </w:tr>
      <w:tr w:rsidR="00F562FA" w:rsidRPr="00561BA2" w:rsidTr="00D337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562FA" w:rsidRPr="007E592F" w:rsidRDefault="00F562FA" w:rsidP="00D337A7">
            <w:pPr>
              <w:pStyle w:val="a7"/>
              <w:rPr>
                <w:w w:val="100"/>
              </w:rPr>
            </w:pPr>
            <w:r w:rsidRPr="007E592F">
              <w:rPr>
                <w:w w:val="100"/>
              </w:rPr>
              <w:t>Бюджет Астраханской области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7E592F" w:rsidRDefault="00F562FA" w:rsidP="00D337A7">
            <w:pPr>
              <w:pStyle w:val="a7"/>
              <w:rPr>
                <w:w w:val="100"/>
              </w:rPr>
            </w:pPr>
            <w:r w:rsidRPr="007E592F">
              <w:rPr>
                <w:w w:val="100"/>
              </w:rPr>
              <w:t>6 205 500,00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7E592F" w:rsidRDefault="00F562FA" w:rsidP="00D337A7">
            <w:pPr>
              <w:pStyle w:val="a7"/>
              <w:rPr>
                <w:w w:val="100"/>
              </w:rPr>
            </w:pPr>
            <w:r w:rsidRPr="007E592F">
              <w:rPr>
                <w:w w:val="100"/>
              </w:rPr>
              <w:t>5 646 328,00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7E592F" w:rsidRDefault="00F562FA" w:rsidP="00D337A7">
            <w:pPr>
              <w:pStyle w:val="a7"/>
              <w:rPr>
                <w:w w:val="100"/>
              </w:rPr>
            </w:pPr>
            <w:r w:rsidRPr="007E592F">
              <w:rPr>
                <w:w w:val="100"/>
              </w:rPr>
              <w:t>8 111 483,30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7E592F" w:rsidRDefault="00F562FA" w:rsidP="00D337A7">
            <w:pPr>
              <w:pStyle w:val="a7"/>
              <w:rPr>
                <w:w w:val="100"/>
              </w:rPr>
            </w:pPr>
            <w:r w:rsidRPr="007E592F">
              <w:rPr>
                <w:w w:val="100"/>
              </w:rPr>
              <w:t>41 350 284,00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7E592F" w:rsidRDefault="00F562FA" w:rsidP="00D337A7">
            <w:pPr>
              <w:pStyle w:val="a7"/>
              <w:rPr>
                <w:w w:val="100"/>
              </w:rPr>
            </w:pPr>
            <w:r w:rsidRPr="007E592F">
              <w:rPr>
                <w:w w:val="100"/>
              </w:rPr>
              <w:t>3 068 451,00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7E592F" w:rsidRDefault="00F562FA" w:rsidP="00D337A7">
            <w:pPr>
              <w:pStyle w:val="a7"/>
              <w:rPr>
                <w:w w:val="100"/>
              </w:rPr>
            </w:pPr>
            <w:r w:rsidRPr="007E592F">
              <w:rPr>
                <w:w w:val="100"/>
              </w:rPr>
              <w:t>3 068 451,00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62FA" w:rsidRPr="00561BA2" w:rsidRDefault="00F562FA" w:rsidP="00D337A7">
            <w:pPr>
              <w:pStyle w:val="a7"/>
              <w:rPr>
                <w:w w:val="100"/>
              </w:rPr>
            </w:pPr>
            <w:r w:rsidRPr="007E592F">
              <w:rPr>
                <w:w w:val="100"/>
              </w:rPr>
              <w:t>67 450 497,30</w:t>
            </w:r>
          </w:p>
        </w:tc>
      </w:tr>
    </w:tbl>
    <w:p w:rsidR="00F562FA" w:rsidRDefault="00F562FA" w:rsidP="00F562FA"/>
    <w:p w:rsidR="00FC104F" w:rsidRDefault="00FC104F">
      <w:r>
        <w:br w:type="page"/>
      </w:r>
    </w:p>
    <w:p w:rsidR="00FC104F" w:rsidRDefault="00FC104F">
      <w:pPr>
        <w:sectPr w:rsidR="00FC104F" w:rsidSect="00F562FA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5D61F8" w:rsidRDefault="00FC104F">
      <w:r>
        <w:rPr>
          <w:noProof/>
          <w:lang w:eastAsia="ru-RU"/>
        </w:rPr>
        <w:lastRenderedPageBreak/>
        <w:drawing>
          <wp:inline distT="0" distB="0" distL="0" distR="0">
            <wp:extent cx="9962515" cy="560324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60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62515" cy="6358255"/>
            <wp:effectExtent l="0" t="0" r="63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635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62515" cy="425323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25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73310" cy="5805170"/>
            <wp:effectExtent l="0" t="0" r="889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80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62515" cy="5922645"/>
            <wp:effectExtent l="0" t="0" r="63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92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62515" cy="4316730"/>
            <wp:effectExtent l="0" t="0" r="635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31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62515" cy="4838065"/>
            <wp:effectExtent l="0" t="0" r="635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83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62515" cy="4859020"/>
            <wp:effectExtent l="0" t="0" r="63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85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73310" cy="4848225"/>
            <wp:effectExtent l="0" t="0" r="889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62515" cy="5773420"/>
            <wp:effectExtent l="0" t="0" r="63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77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73310" cy="3189605"/>
            <wp:effectExtent l="0" t="0" r="889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62515" cy="5039995"/>
            <wp:effectExtent l="0" t="0" r="635" b="825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962515" cy="4816475"/>
            <wp:effectExtent l="0" t="0" r="635" b="31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81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61F8" w:rsidSect="00FC104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F1D"/>
    <w:rsid w:val="005D61F8"/>
    <w:rsid w:val="00A93F1D"/>
    <w:rsid w:val="00F562FA"/>
    <w:rsid w:val="00FC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1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04F"/>
    <w:rPr>
      <w:rFonts w:ascii="Tahoma" w:hAnsi="Tahoma" w:cs="Tahoma"/>
      <w:sz w:val="16"/>
      <w:szCs w:val="16"/>
    </w:rPr>
  </w:style>
  <w:style w:type="paragraph" w:customStyle="1" w:styleId="a5">
    <w:name w:val="[Без стиля]"/>
    <w:rsid w:val="00F562F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5"/>
    <w:uiPriority w:val="99"/>
    <w:rsid w:val="00F562F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6">
    <w:name w:val="основной текст"/>
    <w:basedOn w:val="a5"/>
    <w:uiPriority w:val="99"/>
    <w:rsid w:val="00F562F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7">
    <w:name w:val="Таблица"/>
    <w:basedOn w:val="a5"/>
    <w:uiPriority w:val="99"/>
    <w:rsid w:val="00F562F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1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04F"/>
    <w:rPr>
      <w:rFonts w:ascii="Tahoma" w:hAnsi="Tahoma" w:cs="Tahoma"/>
      <w:sz w:val="16"/>
      <w:szCs w:val="16"/>
    </w:rPr>
  </w:style>
  <w:style w:type="paragraph" w:customStyle="1" w:styleId="a5">
    <w:name w:val="[Без стиля]"/>
    <w:rsid w:val="00F562F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5"/>
    <w:uiPriority w:val="99"/>
    <w:rsid w:val="00F562F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6">
    <w:name w:val="основной текст"/>
    <w:basedOn w:val="a5"/>
    <w:uiPriority w:val="99"/>
    <w:rsid w:val="00F562F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7">
    <w:name w:val="Таблица"/>
    <w:basedOn w:val="a5"/>
    <w:uiPriority w:val="99"/>
    <w:rsid w:val="00F562F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19</Pages>
  <Words>3066</Words>
  <Characters>17482</Characters>
  <Application>Microsoft Office Word</Application>
  <DocSecurity>0</DocSecurity>
  <Lines>145</Lines>
  <Paragraphs>41</Paragraphs>
  <ScaleCrop>false</ScaleCrop>
  <Company/>
  <LinksUpToDate>false</LinksUpToDate>
  <CharactersWithSpaces>20507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2020-01-29T04:36:00Z</dcterms:created>
  <dcterms:modified xsi:type="dcterms:W3CDTF">2020-01-30T05:40:00Z</dcterms:modified>
</cp:coreProperties>
</file>