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542B" w:rsidRPr="00F45A73" w:rsidRDefault="00C3542B" w:rsidP="00C3542B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45A7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Администрация муниципального образования «Город Астрахань»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45A7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ПОСТАНОВЛЕНИЕ</w:t>
      </w:r>
      <w:bookmarkStart w:id="0" w:name="_GoBack"/>
      <w:bookmarkEnd w:id="0"/>
    </w:p>
    <w:p w:rsidR="00C3542B" w:rsidRPr="00F45A73" w:rsidRDefault="00C3542B" w:rsidP="00C3542B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45A7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04 августа 2017 года № 4598 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45A7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«О внесении изменений в постановление администрации 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45A7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муниципального образования «Город Астрахань» от 05.11.2015 № 7645»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В соответствии со ст. 10 Федерального закона «Об основах государственного регулирования торговой деятельности в Российской Федерации», а также в связи с произошедшими кадровыми изменениями ПОСТАНОВЛЯЮ: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1. </w:t>
      </w:r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Внести в постановление администрации муниципального образования «Город Астрахань» от 05.11.2015 № 7645 «О размещении нестационарных торговых объектов, расположенных на территории муниципального образования «Город Астрахань», с изменениями и дополнениями, внесенными постановлениями администрации муниципального образования «Город Астрахань» от 25.12.2015 № 9039, от 04.02.2016 № 603, </w:t>
      </w:r>
      <w:r w:rsidRPr="00F45A73">
        <w:rPr>
          <w:rFonts w:ascii="Arial" w:hAnsi="Arial" w:cs="Arial"/>
          <w:color w:val="000000"/>
          <w:spacing w:val="5"/>
          <w:sz w:val="18"/>
          <w:szCs w:val="18"/>
        </w:rPr>
        <w:t>от 31.03.2016 № 2054, от 01.07.2016 № 4385, от 05.09.2016 № 5868, от 26.10.2016 № 7325, от 20.04.2017 № 2410, от 26.07.2017 № 4387 (далее - постановление</w:t>
      </w:r>
      <w:proofErr w:type="gramEnd"/>
      <w:r w:rsidRPr="00F45A73">
        <w:rPr>
          <w:rFonts w:ascii="Arial" w:hAnsi="Arial" w:cs="Arial"/>
          <w:color w:val="000000"/>
          <w:spacing w:val="5"/>
          <w:sz w:val="18"/>
          <w:szCs w:val="18"/>
        </w:rPr>
        <w:t>), изменения и д</w:t>
      </w:r>
      <w:r w:rsidRPr="00F45A73">
        <w:rPr>
          <w:rFonts w:ascii="Arial" w:hAnsi="Arial" w:cs="Arial"/>
          <w:color w:val="000000"/>
          <w:spacing w:val="4"/>
          <w:sz w:val="18"/>
          <w:szCs w:val="18"/>
        </w:rPr>
        <w:t>ополнения: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-2"/>
          <w:sz w:val="18"/>
          <w:szCs w:val="18"/>
        </w:rPr>
        <w:t>1.1. Изменения и дополнения согласно приложению 1 к настоящему постановлению.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1.2. Пункт 2 постановления администрации муниципального образования «Город Астрахань» от 05.11.2015 № 7645 изложить в следующей редакции: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«2. Установить, что срок действия договора на размещение нестационарного торгового объекта на территории муниципального образования «Город Астрахань» с круглогодичным периодом размещения составляет 5 лет. Срок действия договора на размещение нестационарного торгового объекта на территории муниципального образования «Город Астрахань» с сезонным периодом размещения не может превышать 1 год</w:t>
      </w:r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.».</w:t>
      </w:r>
      <w:proofErr w:type="gramEnd"/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2. Управлению информационной политики администрации муниципального образования «Город Астрахань»: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2.2. </w:t>
      </w:r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Разместить</w:t>
      </w:r>
      <w:proofErr w:type="gram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3. Управлению контроля и документооборота администрации муниципального образования «Город Астрахань»: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3.3.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5. </w:t>
      </w:r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Контроль за</w:t>
      </w:r>
      <w:proofErr w:type="gram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>Глава администрации О.А. ПОЛУМОРДВИНОВ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left="2835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Приложение 1 к постановлению администрации 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left="2835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муниципального образования «Город Астрахань» 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left="2835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proofErr w:type="spellStart"/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o</w:t>
      </w:r>
      <w:proofErr w:type="gram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>т</w:t>
      </w:r>
      <w:proofErr w:type="spell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04.08.2017 № 4598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2"/>
          <w:sz w:val="18"/>
          <w:szCs w:val="18"/>
        </w:rPr>
      </w:pPr>
      <w:r w:rsidRPr="00F45A73">
        <w:rPr>
          <w:rFonts w:ascii="Arial" w:hAnsi="Arial" w:cs="Arial"/>
          <w:color w:val="000000"/>
          <w:spacing w:val="2"/>
          <w:sz w:val="18"/>
          <w:szCs w:val="18"/>
        </w:rPr>
        <w:t>Пункт 5.2 раздела V «Оценка заявок участников Конкурса и критерии такой оценки» положения «Об организации и проведении открытого конкурса на право заключения договора на размещение нестационарного торгового объекта на территории муниципального образования «Город Астрахань» изложить в следующей редакции: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«5.2. Основной критерий. Цена предмета Конкурса, под которой понимается размер платы за право размещения НТО на срок, установленный в извещении и конкурсной документации.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Цена предмета конкурса определяется по формуле: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ab/>
      </w:r>
      <w:r w:rsidRPr="00F45A73">
        <w:rPr>
          <w:rFonts w:ascii="Arial" w:hAnsi="Arial" w:cs="Arial"/>
          <w:color w:val="000000"/>
          <w:spacing w:val="4"/>
          <w:sz w:val="18"/>
          <w:szCs w:val="18"/>
        </w:rPr>
        <w:tab/>
      </w:r>
      <w:r w:rsidRPr="00F45A73">
        <w:rPr>
          <w:rFonts w:ascii="Arial" w:hAnsi="Arial" w:cs="Arial"/>
          <w:color w:val="000000"/>
          <w:spacing w:val="4"/>
          <w:sz w:val="18"/>
          <w:szCs w:val="18"/>
        </w:rPr>
        <w:tab/>
      </w:r>
      <w:proofErr w:type="spell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Цуч</w:t>
      </w:r>
      <w:proofErr w:type="spell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- </w:t>
      </w:r>
      <w:proofErr w:type="spell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Цмин</w:t>
      </w:r>
      <w:proofErr w:type="spellEnd"/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Ц</w:t>
      </w:r>
      <w:proofErr w:type="gram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=</w:t>
      </w:r>
      <w:r w:rsidRPr="00F45A73">
        <w:rPr>
          <w:rFonts w:ascii="Arial" w:hAnsi="Arial" w:cs="Arial"/>
          <w:color w:val="000000"/>
          <w:spacing w:val="4"/>
          <w:sz w:val="18"/>
          <w:szCs w:val="18"/>
        </w:rPr>
        <w:tab/>
        <w:t>_______________________________</w:t>
      </w:r>
      <w:r w:rsidRPr="00F45A73">
        <w:rPr>
          <w:rFonts w:ascii="Arial" w:hAnsi="Arial" w:cs="Arial"/>
          <w:color w:val="000000"/>
          <w:spacing w:val="4"/>
          <w:sz w:val="18"/>
          <w:szCs w:val="18"/>
        </w:rPr>
        <w:tab/>
        <w:t xml:space="preserve"> х 100, где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ab/>
      </w:r>
      <w:r w:rsidRPr="00F45A73">
        <w:rPr>
          <w:rFonts w:ascii="Arial" w:hAnsi="Arial" w:cs="Arial"/>
          <w:color w:val="000000"/>
          <w:spacing w:val="4"/>
          <w:sz w:val="18"/>
          <w:szCs w:val="18"/>
        </w:rPr>
        <w:tab/>
      </w:r>
      <w:r w:rsidRPr="00F45A73">
        <w:rPr>
          <w:rFonts w:ascii="Arial" w:hAnsi="Arial" w:cs="Arial"/>
          <w:color w:val="000000"/>
          <w:spacing w:val="4"/>
          <w:sz w:val="18"/>
          <w:szCs w:val="18"/>
        </w:rPr>
        <w:tab/>
      </w:r>
      <w:proofErr w:type="spell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Цмин</w:t>
      </w:r>
      <w:proofErr w:type="spellEnd"/>
    </w:p>
    <w:p w:rsidR="00C3542B" w:rsidRPr="00F45A73" w:rsidRDefault="00C3542B" w:rsidP="00C3542B">
      <w:pPr>
        <w:autoSpaceDE w:val="0"/>
        <w:autoSpaceDN w:val="0"/>
        <w:adjustRightInd w:val="0"/>
        <w:spacing w:before="57"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Ц</w:t>
      </w:r>
      <w:proofErr w:type="gram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- цена за право размещения НТО;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proofErr w:type="spell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Цуч</w:t>
      </w:r>
      <w:proofErr w:type="spell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- цена, предложенная участником конкурса;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proofErr w:type="spell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Цмин</w:t>
      </w:r>
      <w:proofErr w:type="spell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- начальная (минимальная) цена за право размещения НТО, установленная в извещении и конкурсной документации.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2"/>
          <w:sz w:val="18"/>
          <w:szCs w:val="18"/>
        </w:rPr>
        <w:t xml:space="preserve">Полученному значению </w:t>
      </w:r>
      <w:proofErr w:type="gramStart"/>
      <w:r w:rsidRPr="00F45A73">
        <w:rPr>
          <w:rFonts w:ascii="Arial" w:hAnsi="Arial" w:cs="Arial"/>
          <w:color w:val="000000"/>
          <w:spacing w:val="2"/>
          <w:sz w:val="18"/>
          <w:szCs w:val="18"/>
        </w:rPr>
        <w:t>Ц</w:t>
      </w:r>
      <w:proofErr w:type="gramEnd"/>
      <w:r w:rsidRPr="00F45A73">
        <w:rPr>
          <w:rFonts w:ascii="Arial" w:hAnsi="Arial" w:cs="Arial"/>
          <w:color w:val="000000"/>
          <w:spacing w:val="2"/>
          <w:sz w:val="18"/>
          <w:szCs w:val="18"/>
        </w:rPr>
        <w:t xml:space="preserve"> присваивается оценка в баллах в следующем порядке: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- при </w:t>
      </w:r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Ц</w:t>
      </w:r>
      <w:proofErr w:type="gram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от 0 до 10 (включительно) - присваивается 1 балл;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- при </w:t>
      </w:r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Ц</w:t>
      </w:r>
      <w:proofErr w:type="gram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более 10 до 20 (включительно) - присваивается 3 балла;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- при </w:t>
      </w:r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Ц</w:t>
      </w:r>
      <w:proofErr w:type="gram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более 21 до 30 (включительно) - присваивается 5 баллов;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- при </w:t>
      </w:r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Ц</w:t>
      </w:r>
      <w:proofErr w:type="gram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более 31 до 40 (включительно) - присваивается 7 баллов;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- при </w:t>
      </w:r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Ц</w:t>
      </w:r>
      <w:proofErr w:type="gram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более 41 до 50 (включительно) - присваивается 9 баллов;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- при </w:t>
      </w:r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Ц</w:t>
      </w:r>
      <w:proofErr w:type="gram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более 51 до 60 (включительно) - присваивается 11 баллов;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lastRenderedPageBreak/>
        <w:t xml:space="preserve">- при </w:t>
      </w:r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Ц</w:t>
      </w:r>
      <w:proofErr w:type="gram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более 61 до 70 (включительно) - присваивается 13 баллов;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- при </w:t>
      </w:r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Ц</w:t>
      </w:r>
      <w:proofErr w:type="gram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более 71 до 80 (включительно) - присваивается 15 баллов;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- при </w:t>
      </w:r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Ц</w:t>
      </w:r>
      <w:proofErr w:type="gram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более 81 до 90 (включительно) - присваивается 17 баллов;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- при </w:t>
      </w:r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Ц</w:t>
      </w:r>
      <w:proofErr w:type="gram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более 91 до 100 (включительно) - присваивается 19 баллов;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- при </w:t>
      </w:r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Ц</w:t>
      </w:r>
      <w:proofErr w:type="gram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более 101 до 120 (включительно) - присваивается 21 балл;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- при </w:t>
      </w:r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Ц</w:t>
      </w:r>
      <w:proofErr w:type="gram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более 121 до 160 (включительно) - присваивается 23 балла;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- при </w:t>
      </w:r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Ц</w:t>
      </w:r>
      <w:proofErr w:type="gram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более 161 до 200 (включительно) - присваивается 25 баллов;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- при </w:t>
      </w:r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Ц</w:t>
      </w:r>
      <w:proofErr w:type="gram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более 201 до 250 (включительно) - присваивается 27 баллов;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- при </w:t>
      </w:r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Ц</w:t>
      </w:r>
      <w:proofErr w:type="gram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более 251 до 300 (включительно) - присваивается 29 баллов;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- при </w:t>
      </w:r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Ц</w:t>
      </w:r>
      <w:proofErr w:type="gram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более 301 до 400 (включительно) - присваивается 31 балл;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- при </w:t>
      </w:r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Ц</w:t>
      </w:r>
      <w:proofErr w:type="gram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более 401 до 500 (включительно) - присваивается 33 балла;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- при </w:t>
      </w:r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Ц</w:t>
      </w:r>
      <w:proofErr w:type="gram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более 501 до 750 (включительно) - присваивается 35 баллов;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- при </w:t>
      </w:r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Ц</w:t>
      </w:r>
      <w:proofErr w:type="gram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более 751 до 1000 (включительно) - присваивается 37 баллов. 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В случае если двум или более конкурсным заявкам присвоено равное количество баллов, приоритет отдается заявке, содержащей наиболее выгодную цену (наибольшую) предмета Конкурса, предложенной участником такого Конкурса.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В случае если две или более конкурсных заявки получили равное количество баллов по основному критерию, а также в случае равенства цены предмета Конкурса, предложенной участником такого Конкурса, оценка производится по дополнительному критерию.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Дополнительные критерии оценки заявок (оснащение специальными техническими средствами, наличие технической документации на НТО, материал объекта, благоустройство прилегающей территории, документы, подтверждающие законность осуществления трудовой деятельности работников (трудовые договоры и т.д.), либо сведения о количестве предполагаемых работников, которые будут трудоустроены в случае размещения нестационарного торгового объекта) оцениваются: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- при отсутствии - 0 баллов по каждому дополнительному критерию;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- при наличии - 3 балла по каждому дополнительному критерию.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Итоговая оценка заявки на участие в конкурсе (итоговое количество баллов) определяется сложением всех баллов основных и дополнительных критериев</w:t>
      </w:r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.».</w:t>
      </w:r>
      <w:proofErr w:type="gramEnd"/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Раздел X «Заключение Договора на размещение НТО по результатам Конкурса» дополнить пунктом 10.5.12 следующего содержания: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«10.5.12. По истечении срока действия Договора на размещение НТО несезонного назначения хозяйствующий субъект, с которым заключен такой Договор, имеет преимущественное право на заключение договора на новый срок, не превышающий 2 года, без проведения торгов. 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В заключени</w:t>
      </w:r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и</w:t>
      </w:r>
      <w:proofErr w:type="gram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Договора на новый срок отказывается по причине наличия задолженности двух и более периодов оплаты по Договору на размещение НТО.</w:t>
      </w:r>
    </w:p>
    <w:p w:rsidR="00C3542B" w:rsidRPr="00F45A73" w:rsidRDefault="00C3542B" w:rsidP="00C3542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На новый срок Договор заключается на условиях, определенных в предыдущем Договоре, путем подписания дополнительного соглашения</w:t>
      </w:r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.».</w:t>
      </w:r>
      <w:proofErr w:type="gramEnd"/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20D"/>
    <w:rsid w:val="00984FF0"/>
    <w:rsid w:val="00C3542B"/>
    <w:rsid w:val="00EF7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542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542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1069</Words>
  <Characters>6094</Characters>
  <Application>Microsoft Office Word</Application>
  <DocSecurity>0</DocSecurity>
  <Lines>50</Lines>
  <Paragraphs>14</Paragraphs>
  <ScaleCrop>false</ScaleCrop>
  <Company/>
  <LinksUpToDate>false</LinksUpToDate>
  <CharactersWithSpaces>7149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2017-08-09T11:09:00Z</dcterms:created>
  <dcterms:modified xsi:type="dcterms:W3CDTF">2017-08-09T11:09:00Z</dcterms:modified>
</cp:coreProperties>
</file>