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352" w:rsidRDefault="00F07352" w:rsidP="00F07352">
      <w:pPr>
        <w:jc w:val="center"/>
        <w:rPr>
          <w:sz w:val="28"/>
          <w:szCs w:val="34"/>
          <w:lang w:val="ru-RU"/>
        </w:rPr>
      </w:pPr>
      <w:r>
        <w:rPr>
          <w:sz w:val="28"/>
          <w:szCs w:val="34"/>
          <w:lang w:val="ru-RU"/>
        </w:rPr>
        <w:t xml:space="preserve">Пояснительная записка </w:t>
      </w:r>
    </w:p>
    <w:p w:rsidR="001179F0" w:rsidRDefault="00F07352" w:rsidP="00F07352">
      <w:pPr>
        <w:rPr>
          <w:sz w:val="28"/>
          <w:szCs w:val="34"/>
          <w:lang w:val="ru-RU"/>
        </w:rPr>
      </w:pPr>
      <w:r>
        <w:rPr>
          <w:sz w:val="28"/>
          <w:szCs w:val="34"/>
          <w:lang w:val="ru-RU"/>
        </w:rPr>
        <w:t>к проекту постановления администрации муниципального образования «Город Астрахань» «О внесении изменений в постановление администрации муниципального образования «Город Астрахань» от 17.05.2016 № 3219.»</w:t>
      </w:r>
    </w:p>
    <w:p w:rsidR="00F07352" w:rsidRDefault="00F07352" w:rsidP="00F07352">
      <w:pPr>
        <w:ind w:firstLine="567"/>
        <w:jc w:val="both"/>
        <w:rPr>
          <w:sz w:val="28"/>
          <w:szCs w:val="34"/>
          <w:lang w:val="ru-RU"/>
        </w:rPr>
      </w:pPr>
    </w:p>
    <w:p w:rsidR="004409D7" w:rsidRDefault="004409D7" w:rsidP="004409D7">
      <w:pPr>
        <w:ind w:firstLine="709"/>
        <w:jc w:val="both"/>
        <w:rPr>
          <w:sz w:val="28"/>
          <w:szCs w:val="34"/>
          <w:lang w:val="ru-RU"/>
        </w:rPr>
      </w:pPr>
      <w:r>
        <w:rPr>
          <w:sz w:val="28"/>
          <w:szCs w:val="34"/>
          <w:lang w:val="ru-RU"/>
        </w:rPr>
        <w:t>Согласно ст.16 Федерального закона от 06.10.2003 № 131-ФЗ «Об общих принципах организации местного самоуправления в Российской Федерации» к вопросам местного значения относится создание условий для предоставления транспортных услуг населению и организация транспортного обслуживания населения в границах городского округа.</w:t>
      </w:r>
    </w:p>
    <w:p w:rsidR="004409D7" w:rsidRDefault="004409D7" w:rsidP="004409D7">
      <w:pPr>
        <w:ind w:firstLine="709"/>
        <w:jc w:val="both"/>
        <w:rPr>
          <w:sz w:val="28"/>
          <w:szCs w:val="34"/>
          <w:lang w:val="ru-RU"/>
        </w:rPr>
      </w:pPr>
      <w:proofErr w:type="gramStart"/>
      <w:r>
        <w:rPr>
          <w:sz w:val="28"/>
          <w:szCs w:val="34"/>
          <w:lang w:val="ru-RU"/>
        </w:rPr>
        <w:t>Согласно решению рабочей группы по вопросам подготовки документов планирования регулярных перевозок транспортом общего пользования в муниципальном образовании «Город Астрахань» принято решение о внесении изменения в постановление администрации муниципального образования «Город Астрахань» №3219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 в части переноса планируемых изменений муниципальных маршрутов регулярных перевозок, не реализованных</w:t>
      </w:r>
      <w:proofErr w:type="gramEnd"/>
      <w:r>
        <w:rPr>
          <w:sz w:val="28"/>
          <w:szCs w:val="34"/>
          <w:lang w:val="ru-RU"/>
        </w:rPr>
        <w:t xml:space="preserve"> в 2017 году, на 2018 год.    </w:t>
      </w:r>
    </w:p>
    <w:p w:rsidR="004409D7" w:rsidRPr="004434A3" w:rsidRDefault="004409D7" w:rsidP="004409D7">
      <w:pPr>
        <w:ind w:firstLine="567"/>
        <w:jc w:val="both"/>
        <w:rPr>
          <w:sz w:val="28"/>
          <w:szCs w:val="34"/>
          <w:lang w:val="ru-RU"/>
        </w:rPr>
      </w:pPr>
      <w:r>
        <w:rPr>
          <w:sz w:val="28"/>
          <w:szCs w:val="34"/>
          <w:lang w:val="ru-RU"/>
        </w:rPr>
        <w:t xml:space="preserve">С целью улучшения качества и обеспечения безопасности осуществления перевозок по муниципальным маршрутам на территории муниципального образования «Город Астрахань» управлением транспорта и пассажирских перевозок подготовлен проект постановления «О внесении изменений в постановление администрации муниципального образования «Город Астрахань» от 17.05.2016 № 3219». </w:t>
      </w:r>
    </w:p>
    <w:p w:rsidR="004409D7" w:rsidRPr="00F07352" w:rsidRDefault="004409D7" w:rsidP="004409D7">
      <w:pPr>
        <w:rPr>
          <w:lang w:val="ru-RU"/>
        </w:rPr>
      </w:pPr>
    </w:p>
    <w:p w:rsidR="00F07352" w:rsidRPr="00F07352" w:rsidRDefault="00F07352" w:rsidP="00F07352">
      <w:pPr>
        <w:rPr>
          <w:lang w:val="ru-RU"/>
        </w:rPr>
      </w:pPr>
      <w:bookmarkStart w:id="0" w:name="_GoBack"/>
      <w:bookmarkEnd w:id="0"/>
    </w:p>
    <w:sectPr w:rsidR="00F07352" w:rsidRPr="00F07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A9E"/>
    <w:rsid w:val="00021703"/>
    <w:rsid w:val="001179F0"/>
    <w:rsid w:val="001A32E8"/>
    <w:rsid w:val="004409D7"/>
    <w:rsid w:val="009F564F"/>
    <w:rsid w:val="00A929F5"/>
    <w:rsid w:val="00C16A9E"/>
    <w:rsid w:val="00E30202"/>
    <w:rsid w:val="00F0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352"/>
    <w:pPr>
      <w:widowControl w:val="0"/>
      <w:suppressAutoHyphens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val="ru-RU" w:eastAsia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widowControl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color w:val="auto"/>
      <w:sz w:val="28"/>
      <w:szCs w:val="28"/>
      <w:lang w:val="ru-RU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widowControl/>
      <w:spacing w:before="240" w:after="60"/>
      <w:outlineLvl w:val="2"/>
    </w:pPr>
    <w:rPr>
      <w:rFonts w:asciiTheme="majorHAnsi" w:eastAsiaTheme="majorEastAsia" w:hAnsiTheme="majorHAnsi" w:cstheme="majorBidi"/>
      <w:b/>
      <w:bCs/>
      <w:color w:val="auto"/>
      <w:sz w:val="26"/>
      <w:szCs w:val="26"/>
      <w:lang w:val="ru-RU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widowControl/>
      <w:spacing w:before="240" w:after="60"/>
      <w:outlineLvl w:val="3"/>
    </w:pPr>
    <w:rPr>
      <w:rFonts w:asciiTheme="minorHAnsi" w:eastAsiaTheme="minorEastAsia" w:hAnsiTheme="minorHAnsi" w:cstheme="minorBidi"/>
      <w:b/>
      <w:bCs/>
      <w:color w:val="auto"/>
      <w:sz w:val="28"/>
      <w:szCs w:val="28"/>
      <w:lang w:val="ru-RU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widowControl/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color w:val="auto"/>
      <w:sz w:val="26"/>
      <w:szCs w:val="26"/>
      <w:lang w:val="ru-RU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widowControl/>
      <w:spacing w:before="240" w:after="60"/>
      <w:outlineLvl w:val="5"/>
    </w:pPr>
    <w:rPr>
      <w:rFonts w:asciiTheme="minorHAnsi" w:eastAsiaTheme="minorEastAsia" w:hAnsiTheme="minorHAnsi" w:cstheme="minorBidi"/>
      <w:b/>
      <w:bCs/>
      <w:color w:val="auto"/>
      <w:sz w:val="22"/>
      <w:szCs w:val="22"/>
      <w:lang w:val="ru-RU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widowControl/>
      <w:spacing w:before="240" w:after="60"/>
      <w:outlineLvl w:val="6"/>
    </w:pPr>
    <w:rPr>
      <w:rFonts w:asciiTheme="minorHAnsi" w:eastAsiaTheme="minorEastAsia" w:hAnsiTheme="minorHAnsi" w:cstheme="minorBidi"/>
      <w:color w:val="auto"/>
      <w:lang w:val="ru-RU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widowControl/>
      <w:spacing w:before="240" w:after="60"/>
      <w:outlineLvl w:val="7"/>
    </w:pPr>
    <w:rPr>
      <w:rFonts w:asciiTheme="minorHAnsi" w:eastAsiaTheme="minorEastAsia" w:hAnsiTheme="minorHAnsi" w:cstheme="minorBidi"/>
      <w:i/>
      <w:iCs/>
      <w:color w:val="auto"/>
      <w:lang w:val="ru-RU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widowControl/>
      <w:spacing w:before="240" w:after="60"/>
      <w:outlineLvl w:val="8"/>
    </w:pPr>
    <w:rPr>
      <w:rFonts w:asciiTheme="majorHAnsi" w:eastAsiaTheme="majorEastAsia" w:hAnsiTheme="majorHAnsi" w:cstheme="majorBidi"/>
      <w:color w:val="auto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widowControl/>
    </w:pPr>
    <w:rPr>
      <w:rFonts w:ascii="Calibri" w:eastAsia="Calibri" w:hAnsi="Calibri" w:cs="Calibri"/>
      <w:b/>
      <w:bCs/>
      <w:color w:val="auto"/>
      <w:sz w:val="20"/>
      <w:szCs w:val="20"/>
      <w:lang w:val="ru-RU" w:eastAsia="ar-SA" w:bidi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widowControl/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color w:val="auto"/>
      <w:kern w:val="28"/>
      <w:sz w:val="32"/>
      <w:szCs w:val="32"/>
      <w:lang w:val="ru-RU" w:bidi="ar-SA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widowControl/>
      <w:spacing w:after="60"/>
      <w:jc w:val="center"/>
      <w:outlineLvl w:val="1"/>
    </w:pPr>
    <w:rPr>
      <w:rFonts w:asciiTheme="majorHAnsi" w:eastAsiaTheme="majorEastAsia" w:hAnsiTheme="majorHAnsi" w:cstheme="majorBidi"/>
      <w:color w:val="auto"/>
      <w:lang w:val="ru-RU" w:bidi="ar-SA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widowControl/>
    </w:pPr>
    <w:rPr>
      <w:rFonts w:ascii="Calibri" w:eastAsia="Calibri" w:hAnsi="Calibri" w:cs="Times New Roman"/>
      <w:color w:val="auto"/>
      <w:sz w:val="22"/>
      <w:szCs w:val="22"/>
      <w:lang w:val="ru-RU" w:bidi="ar-SA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widowControl/>
      <w:ind w:left="720"/>
      <w:contextualSpacing/>
    </w:pPr>
    <w:rPr>
      <w:rFonts w:ascii="Calibri" w:eastAsia="Calibri" w:hAnsi="Calibri" w:cs="Calibri"/>
      <w:color w:val="auto"/>
      <w:sz w:val="22"/>
      <w:szCs w:val="22"/>
      <w:lang w:val="ru-RU" w:eastAsia="ar-SA" w:bidi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widowControl/>
    </w:pPr>
    <w:rPr>
      <w:rFonts w:ascii="Calibri" w:eastAsia="Calibri" w:hAnsi="Calibri" w:cs="Times New Roman"/>
      <w:i/>
      <w:iCs/>
      <w:color w:val="000000" w:themeColor="text1"/>
      <w:sz w:val="22"/>
      <w:szCs w:val="22"/>
      <w:lang w:val="ru-RU" w:bidi="ar-SA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widowControl/>
      <w:pBdr>
        <w:bottom w:val="single" w:sz="4" w:space="4" w:color="4F81BD" w:themeColor="accent1"/>
      </w:pBdr>
      <w:spacing w:before="200" w:after="280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  <w:sz w:val="22"/>
      <w:szCs w:val="22"/>
      <w:lang w:val="ru-RU" w:bidi="ar-SA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352"/>
    <w:pPr>
      <w:widowControl w:val="0"/>
      <w:suppressAutoHyphens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val="ru-RU" w:eastAsia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widowControl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color w:val="auto"/>
      <w:sz w:val="28"/>
      <w:szCs w:val="28"/>
      <w:lang w:val="ru-RU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widowControl/>
      <w:spacing w:before="240" w:after="60"/>
      <w:outlineLvl w:val="2"/>
    </w:pPr>
    <w:rPr>
      <w:rFonts w:asciiTheme="majorHAnsi" w:eastAsiaTheme="majorEastAsia" w:hAnsiTheme="majorHAnsi" w:cstheme="majorBidi"/>
      <w:b/>
      <w:bCs/>
      <w:color w:val="auto"/>
      <w:sz w:val="26"/>
      <w:szCs w:val="26"/>
      <w:lang w:val="ru-RU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widowControl/>
      <w:spacing w:before="240" w:after="60"/>
      <w:outlineLvl w:val="3"/>
    </w:pPr>
    <w:rPr>
      <w:rFonts w:asciiTheme="minorHAnsi" w:eastAsiaTheme="minorEastAsia" w:hAnsiTheme="minorHAnsi" w:cstheme="minorBidi"/>
      <w:b/>
      <w:bCs/>
      <w:color w:val="auto"/>
      <w:sz w:val="28"/>
      <w:szCs w:val="28"/>
      <w:lang w:val="ru-RU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widowControl/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color w:val="auto"/>
      <w:sz w:val="26"/>
      <w:szCs w:val="26"/>
      <w:lang w:val="ru-RU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widowControl/>
      <w:spacing w:before="240" w:after="60"/>
      <w:outlineLvl w:val="5"/>
    </w:pPr>
    <w:rPr>
      <w:rFonts w:asciiTheme="minorHAnsi" w:eastAsiaTheme="minorEastAsia" w:hAnsiTheme="minorHAnsi" w:cstheme="minorBidi"/>
      <w:b/>
      <w:bCs/>
      <w:color w:val="auto"/>
      <w:sz w:val="22"/>
      <w:szCs w:val="22"/>
      <w:lang w:val="ru-RU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widowControl/>
      <w:spacing w:before="240" w:after="60"/>
      <w:outlineLvl w:val="6"/>
    </w:pPr>
    <w:rPr>
      <w:rFonts w:asciiTheme="minorHAnsi" w:eastAsiaTheme="minorEastAsia" w:hAnsiTheme="minorHAnsi" w:cstheme="minorBidi"/>
      <w:color w:val="auto"/>
      <w:lang w:val="ru-RU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widowControl/>
      <w:spacing w:before="240" w:after="60"/>
      <w:outlineLvl w:val="7"/>
    </w:pPr>
    <w:rPr>
      <w:rFonts w:asciiTheme="minorHAnsi" w:eastAsiaTheme="minorEastAsia" w:hAnsiTheme="minorHAnsi" w:cstheme="minorBidi"/>
      <w:i/>
      <w:iCs/>
      <w:color w:val="auto"/>
      <w:lang w:val="ru-RU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widowControl/>
      <w:spacing w:before="240" w:after="60"/>
      <w:outlineLvl w:val="8"/>
    </w:pPr>
    <w:rPr>
      <w:rFonts w:asciiTheme="majorHAnsi" w:eastAsiaTheme="majorEastAsia" w:hAnsiTheme="majorHAnsi" w:cstheme="majorBidi"/>
      <w:color w:val="auto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widowControl/>
    </w:pPr>
    <w:rPr>
      <w:rFonts w:ascii="Calibri" w:eastAsia="Calibri" w:hAnsi="Calibri" w:cs="Calibri"/>
      <w:b/>
      <w:bCs/>
      <w:color w:val="auto"/>
      <w:sz w:val="20"/>
      <w:szCs w:val="20"/>
      <w:lang w:val="ru-RU" w:eastAsia="ar-SA" w:bidi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widowControl/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color w:val="auto"/>
      <w:kern w:val="28"/>
      <w:sz w:val="32"/>
      <w:szCs w:val="32"/>
      <w:lang w:val="ru-RU" w:bidi="ar-SA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widowControl/>
      <w:spacing w:after="60"/>
      <w:jc w:val="center"/>
      <w:outlineLvl w:val="1"/>
    </w:pPr>
    <w:rPr>
      <w:rFonts w:asciiTheme="majorHAnsi" w:eastAsiaTheme="majorEastAsia" w:hAnsiTheme="majorHAnsi" w:cstheme="majorBidi"/>
      <w:color w:val="auto"/>
      <w:lang w:val="ru-RU" w:bidi="ar-SA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widowControl/>
    </w:pPr>
    <w:rPr>
      <w:rFonts w:ascii="Calibri" w:eastAsia="Calibri" w:hAnsi="Calibri" w:cs="Times New Roman"/>
      <w:color w:val="auto"/>
      <w:sz w:val="22"/>
      <w:szCs w:val="22"/>
      <w:lang w:val="ru-RU" w:bidi="ar-SA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widowControl/>
      <w:ind w:left="720"/>
      <w:contextualSpacing/>
    </w:pPr>
    <w:rPr>
      <w:rFonts w:ascii="Calibri" w:eastAsia="Calibri" w:hAnsi="Calibri" w:cs="Calibri"/>
      <w:color w:val="auto"/>
      <w:sz w:val="22"/>
      <w:szCs w:val="22"/>
      <w:lang w:val="ru-RU" w:eastAsia="ar-SA" w:bidi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widowControl/>
    </w:pPr>
    <w:rPr>
      <w:rFonts w:ascii="Calibri" w:eastAsia="Calibri" w:hAnsi="Calibri" w:cs="Times New Roman"/>
      <w:i/>
      <w:iCs/>
      <w:color w:val="000000" w:themeColor="text1"/>
      <w:sz w:val="22"/>
      <w:szCs w:val="22"/>
      <w:lang w:val="ru-RU" w:bidi="ar-SA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widowControl/>
      <w:pBdr>
        <w:bottom w:val="single" w:sz="4" w:space="4" w:color="4F81BD" w:themeColor="accent1"/>
      </w:pBdr>
      <w:spacing w:before="200" w:after="280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  <w:sz w:val="22"/>
      <w:szCs w:val="22"/>
      <w:lang w:val="ru-RU" w:bidi="ar-SA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Шишкина Светлана Васильевна</dc:creator>
  <cp:keywords/>
  <dc:description/>
  <cp:lastModifiedBy>Шишкина Светлана Васильевна</cp:lastModifiedBy>
  <cp:revision>3</cp:revision>
  <dcterms:created xsi:type="dcterms:W3CDTF">2018-09-11T12:41:00Z</dcterms:created>
  <dcterms:modified xsi:type="dcterms:W3CDTF">2018-09-11T13:08:00Z</dcterms:modified>
</cp:coreProperties>
</file>