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                 </w:t>
      </w: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Направление материнского капитала на оплату кредита через банки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Утвержденные изменения делают более удобным распоряжение материнским капиталом на самое востребованное у семей направление программы – улучшение жилищных условий с привлечением кредитных средств.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Чтобы оперативнее направлять материнский капитал на погашение кредитов, соответствующее заявление можно будет подавать непосредственно в банке, в котором открывается кредит. То есть вместо двух обращений – в банк и Пенсионный фонд – семье достаточно обратиться только в банк, где одновременно оформляется кредит и подается заявление на погашение кредита или уплату первоначального взноса.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Предоставление данной услуги будет развиваться по мере заключения соглашений между банками и Пенсионным фондом России.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b/>
          <w:b/>
          <w:bCs/>
          <w:i/>
          <w:i/>
          <w:i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для строительства домов на садовых участках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Принятые поправки законодательно закрепили право семей использовать материнский капитал для строительства жилого дома на садовом участке. Необходимым условием при этом, как и раньше, является наличие права собственности на землю и разрешения на   строительство жилья.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Продление программы материнского капитала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Действие программы материнского капитала продлено на пять лет – до конца 2026 года. </w:t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Application>LibreOffice/6.4.4.2$Windows_X86_64 LibreOffice_project/3d775be2011f3886db32dfd395a6a6d1ca2630ff</Application>
  <Pages>1</Pages>
  <Words>190</Words>
  <Characters>1399</Characters>
  <CharactersWithSpaces>1980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2020-07-15T15:50:33Z</cp:lastPrinted>
  <dcterms:modified xsi:type="dcterms:W3CDTF">2020-07-15T15:50:45Z</dcterms:modified>
  <cp:revision>32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