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16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 xml:space="preserve">Приложение </w:t>
      </w:r>
      <w:r w:rsidR="000C1AA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5C6316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муниципального образования «Город Астрахань» 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№_______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  <w:r w:rsidRPr="006C63C7">
        <w:rPr>
          <w:rFonts w:ascii="Times New Roman" w:hAnsi="Times New Roman" w:cs="Times New Roman"/>
        </w:rPr>
        <w:t>к муниципальной программе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муниципального образования "Город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Астрахань" "Энергосбережение и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повышение энергетической эффективности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в городе Астрахани"</w:t>
      </w:r>
    </w:p>
    <w:p w:rsidR="005C6316" w:rsidRPr="00EC6555" w:rsidRDefault="005C6316" w:rsidP="00EC6555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</w:rPr>
      </w:pP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bookmarkStart w:id="0" w:name="P1316"/>
      <w:bookmarkEnd w:id="0"/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РАСПРЕДЕЛЕНИЕ РАСХОДОВ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НА РЕАЛИЗАЦИЮ МУНИЦИПАЛЬНОЙ ПРОГРАММЫ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"ЭНЕРГОСБЕРЕЖЕНИЕ И ПОВЫШЕНИЕ ЭНЕРГЕТИЧЕСКОЙ ЭФФЕКТИВНОСТИ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В ГОРОДЕ АСТРАХАНИ"</w:t>
      </w:r>
    </w:p>
    <w:p w:rsidR="005C6316" w:rsidRPr="00EC6555" w:rsidRDefault="005C6316" w:rsidP="00EC6555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6304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843"/>
        <w:gridCol w:w="1276"/>
        <w:gridCol w:w="850"/>
        <w:gridCol w:w="709"/>
        <w:gridCol w:w="709"/>
        <w:gridCol w:w="425"/>
        <w:gridCol w:w="1276"/>
        <w:gridCol w:w="992"/>
        <w:gridCol w:w="1134"/>
        <w:gridCol w:w="992"/>
        <w:gridCol w:w="1134"/>
        <w:gridCol w:w="1134"/>
        <w:gridCol w:w="993"/>
        <w:gridCol w:w="994"/>
      </w:tblGrid>
      <w:tr w:rsidR="00310B43" w:rsidRPr="00610E06" w:rsidTr="00F768E4">
        <w:trPr>
          <w:trHeight w:val="131"/>
          <w:tblHeader/>
        </w:trPr>
        <w:tc>
          <w:tcPr>
            <w:tcW w:w="284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N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/п</w:t>
            </w:r>
          </w:p>
        </w:tc>
        <w:tc>
          <w:tcPr>
            <w:tcW w:w="1559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Цели, задачи, наименования программных мероприятий</w:t>
            </w:r>
          </w:p>
        </w:tc>
        <w:tc>
          <w:tcPr>
            <w:tcW w:w="1843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Ответственные исполнители, соисполнители (участники)</w:t>
            </w:r>
          </w:p>
        </w:tc>
        <w:tc>
          <w:tcPr>
            <w:tcW w:w="1276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Источники финансирования</w:t>
            </w:r>
          </w:p>
        </w:tc>
        <w:tc>
          <w:tcPr>
            <w:tcW w:w="2693" w:type="dxa"/>
            <w:gridSpan w:val="4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Коды классификации</w:t>
            </w:r>
          </w:p>
        </w:tc>
        <w:tc>
          <w:tcPr>
            <w:tcW w:w="8649" w:type="dxa"/>
            <w:gridSpan w:val="8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Планируемые расходы, руб.</w:t>
            </w:r>
          </w:p>
        </w:tc>
      </w:tr>
      <w:tr w:rsidR="00732394" w:rsidRPr="00610E06" w:rsidTr="00F768E4">
        <w:trPr>
          <w:trHeight w:val="73"/>
          <w:tblHeader/>
        </w:trPr>
        <w:tc>
          <w:tcPr>
            <w:tcW w:w="284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раздел, подраздел</w:t>
            </w:r>
          </w:p>
        </w:tc>
        <w:tc>
          <w:tcPr>
            <w:tcW w:w="709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целевая статья</w:t>
            </w:r>
          </w:p>
        </w:tc>
        <w:tc>
          <w:tcPr>
            <w:tcW w:w="709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вид расходов</w:t>
            </w:r>
          </w:p>
        </w:tc>
        <w:tc>
          <w:tcPr>
            <w:tcW w:w="425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КОСГУ</w:t>
            </w:r>
          </w:p>
        </w:tc>
        <w:tc>
          <w:tcPr>
            <w:tcW w:w="1276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92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992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993" w:type="dxa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994" w:type="dxa"/>
          </w:tcPr>
          <w:p w:rsidR="004104CB" w:rsidRPr="00610E06" w:rsidRDefault="00310B43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</w:tr>
      <w:tr w:rsidR="004104CB" w:rsidRPr="00610E06" w:rsidTr="00732394">
        <w:trPr>
          <w:trHeight w:val="55"/>
        </w:trPr>
        <w:tc>
          <w:tcPr>
            <w:tcW w:w="28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26" w:type="dxa"/>
            <w:gridSpan w:val="14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Муниципальная программа муниципального образования "Город Астрахань" "Энергосбережение и повышение энергетической эффективности в городе Астрахани"</w:t>
            </w:r>
          </w:p>
        </w:tc>
        <w:tc>
          <w:tcPr>
            <w:tcW w:w="994" w:type="dxa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F1CEA" w:rsidRPr="00610E06" w:rsidTr="00732394">
        <w:trPr>
          <w:trHeight w:val="1025"/>
        </w:trPr>
        <w:tc>
          <w:tcPr>
            <w:tcW w:w="284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F1CEA" w:rsidRPr="00610E06" w:rsidRDefault="001F1CEA" w:rsidP="001A40D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Муниципальная программа "Энергосбережение и повышение энергетической 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ффективности в городе Астрахани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1F1CEA" w:rsidRPr="00610E06" w:rsidRDefault="001F1CEA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 "Город Астрахань",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МУП г. Астрахани "Астрводоканал",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Астрахань", бюджет Астраханской области, 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F1CEA" w:rsidRPr="002D0CB5" w:rsidRDefault="001F1CEA" w:rsidP="00182E6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1 162 3</w:t>
            </w:r>
            <w:r w:rsidR="00182E68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017,41</w:t>
            </w:r>
          </w:p>
        </w:tc>
        <w:tc>
          <w:tcPr>
            <w:tcW w:w="992" w:type="dxa"/>
            <w:shd w:val="clear" w:color="auto" w:fill="auto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236 607 702,5</w:t>
            </w:r>
          </w:p>
        </w:tc>
        <w:tc>
          <w:tcPr>
            <w:tcW w:w="1134" w:type="dxa"/>
            <w:shd w:val="clear" w:color="auto" w:fill="auto"/>
          </w:tcPr>
          <w:p w:rsidR="001F1CEA" w:rsidRPr="003127AC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auto"/>
          </w:tcPr>
          <w:p w:rsidR="001F1CEA" w:rsidRPr="003127AC" w:rsidRDefault="001F1CEA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1F1CEA" w:rsidRPr="003127AC" w:rsidRDefault="001F1CEA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6 993 076,92</w:t>
            </w:r>
          </w:p>
        </w:tc>
        <w:tc>
          <w:tcPr>
            <w:tcW w:w="994" w:type="dxa"/>
          </w:tcPr>
          <w:p w:rsidR="001F1CEA" w:rsidRPr="003127AC" w:rsidRDefault="001F1CEA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6 993 076,92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Цель 1. Повышение эффективности использования энергетических ресурсов в муниципальном образовании "Город Астрахань"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 "Город Астрахань",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 МУП г. Астрахани "Астрводоканал",                      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                    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Бюджет МО "Город Астрахань", </w:t>
            </w:r>
            <w:r w:rsidR="009949E7">
              <w:rPr>
                <w:rFonts w:ascii="Times New Roman" w:hAnsi="Times New Roman" w:cs="Times New Roman"/>
                <w:sz w:val="15"/>
                <w:szCs w:val="15"/>
              </w:rPr>
              <w:t xml:space="preserve">бюджет Астраханской области,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2D0CB5" w:rsidRDefault="009949E7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1 162 32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017,41</w:t>
            </w:r>
          </w:p>
        </w:tc>
        <w:tc>
          <w:tcPr>
            <w:tcW w:w="992" w:type="dxa"/>
            <w:shd w:val="clear" w:color="auto" w:fill="auto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236 607 702,5</w:t>
            </w:r>
          </w:p>
        </w:tc>
        <w:tc>
          <w:tcPr>
            <w:tcW w:w="1134" w:type="dxa"/>
            <w:shd w:val="clear" w:color="auto" w:fill="auto"/>
          </w:tcPr>
          <w:p w:rsidR="005324C5" w:rsidRPr="003127AC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auto"/>
          </w:tcPr>
          <w:p w:rsidR="005324C5" w:rsidRPr="003127AC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5324C5" w:rsidRPr="003127AC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</w:tcPr>
          <w:p w:rsidR="005324C5" w:rsidRPr="003127AC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1.1. Формирование системы информационного просвещения населения муниципального образования "Город Астрахань"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1.1.1. Повышение информированности общества об энергосберегающих технологиях и стимулирование формирования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модели бережливого отношения населения к энергоресурсам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1. Разработка рекомендаций по внедрению энергоэффективных технологий при строительстве, реконструкции и эксплуатации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0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 Пропаганда сбережения энергии и сохранения энергоресурсов</w:t>
            </w:r>
          </w:p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52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3. Проведение анализа потребления энергоресурсов на территории города Астрахани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1.2. Повышение энергетической эффективности на объектах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образования)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ind w:left="-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732394" w:rsidRPr="00610E06" w:rsidTr="006357FF">
        <w:trPr>
          <w:trHeight w:val="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Задача 1.3. Повышение энергетической эффективности в системах коммунальной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инфраструктуры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го образования "Город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Астрахань»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МУП г. Астрахани "Астрводоканал",                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               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401 440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4 02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2 585,55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361 727 000,00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16304" w:type="dxa"/>
            <w:gridSpan w:val="16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Подпрограмма 1 "Энергосбережение социальной сферы"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Цель 1.1. Повышение энергетической эффективности на объектах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Астрахань", 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16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1.1. Оснащение приборами учета муниципальных учреждений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447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1.1.1. Реализация полномочий в сфере коммунального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хозяйства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администрации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1.1.2. Проведение семинаров на тему "Практическое внедрение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энергосервисных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контрактов"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1.1.3. Анализ потенциала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муниципальных учреждений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1.1.1.4. Проведение конкурсов по энергосбережению и внедрению инновационных технологий среди учащихся муниципальных образовательных учреждений города Астрахани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Подпрограмме 1, в том числе по источникам финансирования: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239"/>
        </w:trPr>
        <w:tc>
          <w:tcPr>
            <w:tcW w:w="16304" w:type="dxa"/>
            <w:gridSpan w:val="16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Подпрограмма 2 "Энергосбережение и повышение энергетической эффективности в системах коммунальной инфраструктуры"</w:t>
            </w:r>
          </w:p>
        </w:tc>
      </w:tr>
      <w:tr w:rsidR="005324C5" w:rsidRPr="00610E06" w:rsidTr="00732394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Цель 1.2. Повышение энергетической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эффективности в системах коммунальной инфраструктуры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и благоустройству администрации муниципального образования "Город Астрахань" (МУП г. Астрахани "Астрводоканал",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Всего, в том числе:</w:t>
            </w:r>
          </w:p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7239F7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1 157 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820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585,55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55 458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234 672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85 840 147,65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0D39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1CE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</w:tcPr>
          <w:p w:rsidR="005324C5" w:rsidRDefault="005324C5" w:rsidP="001F1CE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394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722 071 000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55 458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135 173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263D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263D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50 475 819,74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28 607 588,98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7 523 076,92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9C688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4" w:type="dxa"/>
          </w:tcPr>
          <w:p w:rsidR="005324C5" w:rsidRDefault="005324C5" w:rsidP="009C688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</w:tr>
      <w:tr w:rsidR="005324C5" w:rsidRPr="00610E06" w:rsidTr="00732394">
        <w:trPr>
          <w:trHeight w:val="596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5324C5" w:rsidRPr="000E4F4C" w:rsidRDefault="005324C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 546 765,81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12 432 558,67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10 974 207,14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  <w:tc>
          <w:tcPr>
            <w:tcW w:w="994" w:type="dxa"/>
          </w:tcPr>
          <w:p w:rsidR="005324C5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9949E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3 800 000,00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1D7B0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324C5" w:rsidRPr="00610E06" w:rsidRDefault="005324C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37 927 000,00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1D7B0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17 927 000,00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2.1. Повышение энергетической эффективности в сфере водоснабжения и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325234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и благоустройству администрации муниципального образования "Город Астрахань" (МУП г. Астрахани "Астрводоканал"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711 654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50 265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F957A5" w:rsidRPr="00610E06" w:rsidTr="006357FF">
        <w:trPr>
          <w:trHeight w:val="287"/>
        </w:trPr>
        <w:tc>
          <w:tcPr>
            <w:tcW w:w="284" w:type="dxa"/>
            <w:vMerge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F957A5">
            <w:pPr>
              <w:pStyle w:val="a9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F957A5" w:rsidRDefault="00F957A5" w:rsidP="0032523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59 </w:t>
            </w:r>
            <w:r w:rsidR="0032523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438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610,88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499 000,00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28 056 172,98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16 897 284,06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F957A5" w:rsidRDefault="00F957A5" w:rsidP="001F1CEA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6 9</w:t>
            </w:r>
            <w:r w:rsidR="001F1CE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3 076,92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F957A5" w:rsidRDefault="00F957A5" w:rsidP="001F1CEA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6 9</w:t>
            </w:r>
            <w:r w:rsidR="001F1CE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3 076,92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326 927 000,00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99 000 000,00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87 927 000,00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70 000 000,00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F957A5" w:rsidRDefault="00F957A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70 000 000,00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2.1.1. Внедрение автоматических станций управления на ПНС и КНС с заменой насосного оборудования (20 ПНС и 3 КНС)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19 834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19 834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2.1.2. Внедрение автоматических станций управления на ПНС и КНС с заменой насосного оборудования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30 431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30 431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2.1.3. Внедрение автоматических станций управления на КНС с заменой насосного оборудования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4058B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2.1.4. Замена насосного оборудования и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запорной арматуры для снижения потерь. Замена пусковой аппаратуры с применением ПЧ на насосах 1 - 2 подъема ЛОСВ, ПОСВ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, ПОСВ1, ВОС (1 - 2 подъемы)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2.1.5. Внедрение управляемых воздуходувок в системах биологической очистки на очистных сооружениях канализации (СОСК, ЮОСК, ПОСК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2.1.6. Частичная замена насосного оборудования на сооружениях водоснабжения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2.1.7.</w:t>
            </w:r>
          </w:p>
          <w:p w:rsidR="005324C5" w:rsidRPr="00610E06" w:rsidRDefault="005324C5" w:rsidP="00377A0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Приобретение оборудования  и материалов для реализации мероприятий, направленных  на модернизацию и повышение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водопроводно-канализационного хозяйства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E4058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88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73543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2.1.8. Монтаж</w:t>
            </w:r>
            <w:r w:rsidRPr="00610E06">
              <w:rPr>
                <w:sz w:val="15"/>
                <w:szCs w:val="15"/>
              </w:rPr>
              <w:t xml:space="preserve">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приобретенного оборудования и материалов для реализации мероприятий,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направленных на модернизацию и повышение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водопроводно-канализационного хозяйства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28 356 172,98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300 000,00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28 056 172,98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2.1.9. Оказание услуг по проведению экспертизы результатов, предусмотренных контрактом, в части их соответствия условиям контракта № 300 от 30.11.2018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2.1.10. Реконструкция системы ливневой канализации с насосной станцией, расположенной по адресу: ул. Бурова, 2 «А», в Кировском районе г. Астрахани, с организацией очистки сброса поверхностных вод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4 982 100,0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4 982 100,0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8 854 300,00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8 854 300,00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2.1.11. Реконструкция системы ливневой канализации с насосной станцией, расположенной по адресу: ул. Харьковская, 28 «А», в Советском районе г. Астрахани, с организацией очистки сброса поверхностных вод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FA428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4 992 107,14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4 992 107,14</w:t>
            </w:r>
          </w:p>
          <w:p w:rsidR="005324C5" w:rsidRPr="00610E06" w:rsidRDefault="005324C5" w:rsidP="006A115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4515C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9 072 700,00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9 072 700,00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F1CEA" w:rsidRPr="00610E06" w:rsidTr="004515C4">
        <w:trPr>
          <w:trHeight w:val="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F1CEA" w:rsidRPr="00610E06" w:rsidRDefault="001F1CEA" w:rsidP="00FB731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2.1.12.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Реализация мероприятий, направленных на обеспечение функционирования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объектов водоснабжения и водоотведения</w:t>
            </w:r>
            <w:r w:rsidR="004515C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515C4">
              <w:rPr>
                <w:rFonts w:ascii="Times New Roman" w:hAnsi="Times New Roman" w:cs="Times New Roman"/>
                <w:sz w:val="15"/>
                <w:szCs w:val="15"/>
              </w:rPr>
              <w:t xml:space="preserve">(в </w:t>
            </w:r>
            <w:proofErr w:type="spellStart"/>
            <w:r w:rsidR="004515C4">
              <w:rPr>
                <w:rFonts w:ascii="Times New Roman" w:hAnsi="Times New Roman" w:cs="Times New Roman"/>
                <w:sz w:val="15"/>
                <w:szCs w:val="15"/>
              </w:rPr>
              <w:t>т.ч</w:t>
            </w:r>
            <w:proofErr w:type="spellEnd"/>
            <w:r w:rsidR="004515C4"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="004515C4" w:rsidRPr="00724386">
              <w:rPr>
                <w:rFonts w:ascii="Times New Roman" w:hAnsi="Times New Roman" w:cs="Times New Roman"/>
                <w:sz w:val="15"/>
                <w:szCs w:val="15"/>
              </w:rPr>
              <w:t>приобретение оборудования, материалов для ремонта водопроводно-канализационных сетей и сооружений, расположенных на территории муниципального образования Астраханской области;</w:t>
            </w:r>
            <w:r w:rsidR="004515C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515C4" w:rsidRPr="00724386">
              <w:rPr>
                <w:rFonts w:ascii="Times New Roman" w:hAnsi="Times New Roman" w:cs="Times New Roman"/>
                <w:sz w:val="15"/>
                <w:szCs w:val="15"/>
              </w:rPr>
              <w:t>приобретение диагностическо-инспекционного оборудования для сетей и сооружений; приобретение специализированной техники; разработку (корректировку) схем водоснабжения и водоотведения; проведение технического аудита муни</w:t>
            </w:r>
            <w:r w:rsidR="004515C4">
              <w:rPr>
                <w:rFonts w:ascii="Times New Roman" w:hAnsi="Times New Roman" w:cs="Times New Roman"/>
                <w:sz w:val="15"/>
                <w:szCs w:val="15"/>
              </w:rPr>
              <w:t>ципальных унитарных предприятий)</w:t>
            </w:r>
            <w:bookmarkStart w:id="1" w:name="_GoBack"/>
            <w:bookmarkEnd w:id="1"/>
            <w:proofErr w:type="gram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1F1CEA" w:rsidRPr="00610E06" w:rsidRDefault="001F1CEA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администрации муниципального образования "Город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Астрахань</w:t>
            </w:r>
          </w:p>
        </w:tc>
        <w:tc>
          <w:tcPr>
            <w:tcW w:w="1276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1CEA" w:rsidRPr="00610E06" w:rsidRDefault="001F1CEA" w:rsidP="002F7D2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20 769 230,76</w:t>
            </w: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3" w:type="dxa"/>
            <w:shd w:val="clear" w:color="auto" w:fill="FFFFFF" w:themeFill="background1"/>
          </w:tcPr>
          <w:p w:rsidR="001F1CEA" w:rsidRPr="00610E06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1F1CEA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</w:tr>
      <w:tr w:rsidR="001F1CEA" w:rsidRPr="00610E06" w:rsidTr="004515C4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EA" w:rsidRPr="00610E06" w:rsidRDefault="001F1CEA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CEA" w:rsidRPr="00610E06" w:rsidRDefault="001F1CEA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1CEA" w:rsidRPr="00610E06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210 0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00 0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F1CEA" w:rsidRPr="00610E06" w:rsidRDefault="001F1CEA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70 000 000,00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1F1CEA" w:rsidRPr="00610E06" w:rsidRDefault="001F1CEA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70 000 000,00</w:t>
            </w:r>
          </w:p>
        </w:tc>
      </w:tr>
      <w:tr w:rsidR="001F1CEA" w:rsidRPr="00610E06" w:rsidTr="004515C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CEA" w:rsidRPr="00610E06" w:rsidRDefault="001F1CEA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CEA" w:rsidRPr="00610E06" w:rsidRDefault="001F1CEA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1CEA" w:rsidRDefault="00325234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1CEA" w:rsidRDefault="001F1CEA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F1CEA" w:rsidRPr="00610E06" w:rsidRDefault="001F1CEA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1F1CEA" w:rsidRPr="00610E06" w:rsidRDefault="001F1CEA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2.2. Повышение энергетической эффективности в сфере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(МУП г.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8 877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5 093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3 784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F957A5" w:rsidRPr="00610E06" w:rsidRDefault="00F957A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F957A5" w:rsidRPr="00610E06" w:rsidRDefault="00F957A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9949E7" w:rsidRDefault="00F957A5" w:rsidP="00F957A5">
            <w:pPr>
              <w:pStyle w:val="a9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14 583 974,67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12 983 974,67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1 600 000,00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9949E7" w:rsidRDefault="00F957A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34 800 000,00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34 800 000,00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2.2.1.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2 607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1 320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2.2.2. Замена на котельной N Т-2 насоса исходной воды К90 - 85 на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энергосберегающий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396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842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2.2.3.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Т-2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1 320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660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660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2.2.4. Замена на котельной N Т-6 сетевого насоса ЦН 400 - 105 на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энергосберегающий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администрации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муниципального образования "Город Астрахань" 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2.2.5.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Т-6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2 508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2.2.6.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Т-44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352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5324C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2.2.7. Приобретение переносных газоанализаторов для котельных N Т-1, Т-2, Т-6, Т-44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2.2.8 Проведение мероприятий по текущему ремонту объектов теплоснабжения, находящих в муниципальной собственности (реконструкция автоматики безопасности зала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котлов ДКВР котельной Т-6 по ул.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.Н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ахимова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, 60)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1 151 416,00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551 416,00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600 000,00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2.2.9. Строительство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блочно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-модульной котельной по ул. 2-й проезд Мостостроителей в Трусовском районе г. Астрахани, в том числе ПИР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420D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  <w:p w:rsidR="005324C5" w:rsidRPr="00610E06" w:rsidRDefault="005324C5" w:rsidP="00E475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13 432 558,67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12 432 558,67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1 000 000,00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F420D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2.3. Повышение энергетической эффективности в сфере наружного освещения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1 540 000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B42EF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</w:tcPr>
          <w:p w:rsidR="005324C5" w:rsidRPr="00610E06" w:rsidRDefault="005324C5" w:rsidP="00F420D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59" w:type="dxa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2.3.1. Перевод электрической котельной на газовое топливо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73543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1 540 000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106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Подпрограмме 2, в том числе по источникам финансирования: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7239F7" w:rsidRDefault="00325234" w:rsidP="00D21F7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1 157 </w:t>
            </w:r>
            <w:r w:rsidR="005324C5">
              <w:rPr>
                <w:rFonts w:ascii="Times New Roman" w:hAnsi="Times New Roman" w:cs="Times New Roman"/>
                <w:b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5324C5">
              <w:rPr>
                <w:rFonts w:ascii="Times New Roman" w:hAnsi="Times New Roman" w:cs="Times New Roman"/>
                <w:b/>
                <w:sz w:val="15"/>
                <w:szCs w:val="15"/>
              </w:rPr>
              <w:t>0 585,55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401 440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3D3CF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234 672 000,00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610E06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FE1820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9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FE1820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9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4 022 585,55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325234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6 99</w:t>
            </w:r>
            <w:r w:rsidR="005324C5"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727 000,00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Программе, в том числе по источникам финансирования: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1 162 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37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2 017,41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236 607 702,5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104C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C9513F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 99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C9513F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 99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57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4 017,41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87697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2 434 702,5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104C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325234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6 99</w:t>
            </w:r>
            <w:r w:rsidR="005324C5"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бюджет Астраханской области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361 727 000,00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</w:tbl>
    <w:p w:rsidR="005C6316" w:rsidRPr="00EC6555" w:rsidRDefault="005C6316" w:rsidP="00EC6555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</w:p>
    <w:p w:rsidR="00823607" w:rsidRDefault="001B6867" w:rsidP="00823607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="0014342D">
        <w:rPr>
          <w:rFonts w:ascii="Times New Roman" w:hAnsi="Times New Roman" w:cs="Times New Roman"/>
        </w:rPr>
        <w:t>а</w:t>
      </w:r>
      <w:r w:rsidR="00823607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823607">
        <w:rPr>
          <w:rFonts w:ascii="Times New Roman" w:hAnsi="Times New Roman" w:cs="Times New Roman"/>
        </w:rPr>
        <w:t xml:space="preserve"> управления  по коммунальному хозяйству и благоустройству </w:t>
      </w:r>
    </w:p>
    <w:p w:rsidR="00823607" w:rsidRPr="00EC6555" w:rsidRDefault="00823607" w:rsidP="00823607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образования «Город Астрахань» </w:t>
      </w:r>
    </w:p>
    <w:p w:rsidR="005C6316" w:rsidRPr="00EC6555" w:rsidRDefault="005C6316" w:rsidP="0040546E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____________</w:t>
      </w:r>
      <w:r w:rsidR="00823607">
        <w:rPr>
          <w:rFonts w:ascii="Times New Roman" w:hAnsi="Times New Roman" w:cs="Times New Roman"/>
        </w:rPr>
        <w:t xml:space="preserve">__ </w:t>
      </w:r>
      <w:r w:rsidR="003251D4">
        <w:rPr>
          <w:rFonts w:ascii="Times New Roman" w:hAnsi="Times New Roman" w:cs="Times New Roman"/>
        </w:rPr>
        <w:t>Б</w:t>
      </w:r>
      <w:r w:rsidR="001B6867">
        <w:rPr>
          <w:rFonts w:ascii="Times New Roman" w:hAnsi="Times New Roman" w:cs="Times New Roman"/>
        </w:rPr>
        <w:t>.</w:t>
      </w:r>
      <w:r w:rsidR="003251D4">
        <w:rPr>
          <w:rFonts w:ascii="Times New Roman" w:hAnsi="Times New Roman" w:cs="Times New Roman"/>
        </w:rPr>
        <w:t>С</w:t>
      </w:r>
      <w:r w:rsidR="001B6867">
        <w:rPr>
          <w:rFonts w:ascii="Times New Roman" w:hAnsi="Times New Roman" w:cs="Times New Roman"/>
        </w:rPr>
        <w:t xml:space="preserve">. </w:t>
      </w:r>
      <w:proofErr w:type="spellStart"/>
      <w:r w:rsidR="003251D4">
        <w:rPr>
          <w:rFonts w:ascii="Times New Roman" w:hAnsi="Times New Roman" w:cs="Times New Roman"/>
        </w:rPr>
        <w:t>Джукесова</w:t>
      </w:r>
      <w:proofErr w:type="spellEnd"/>
    </w:p>
    <w:sectPr w:rsidR="005C6316" w:rsidRPr="00EC6555" w:rsidSect="00976969">
      <w:headerReference w:type="default" r:id="rId8"/>
      <w:pgSz w:w="16839" w:h="11907" w:orient="landscape" w:code="9"/>
      <w:pgMar w:top="851" w:right="567" w:bottom="680" w:left="567" w:header="51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EA" w:rsidRDefault="001F1CEA" w:rsidP="00D9703D">
      <w:pPr>
        <w:spacing w:after="0" w:line="240" w:lineRule="auto"/>
      </w:pPr>
      <w:r>
        <w:separator/>
      </w:r>
    </w:p>
  </w:endnote>
  <w:endnote w:type="continuationSeparator" w:id="0">
    <w:p w:rsidR="001F1CEA" w:rsidRDefault="001F1CEA" w:rsidP="00D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EA" w:rsidRDefault="001F1CEA" w:rsidP="00D9703D">
      <w:pPr>
        <w:spacing w:after="0" w:line="240" w:lineRule="auto"/>
      </w:pPr>
      <w:r>
        <w:separator/>
      </w:r>
    </w:p>
  </w:footnote>
  <w:footnote w:type="continuationSeparator" w:id="0">
    <w:p w:rsidR="001F1CEA" w:rsidRDefault="001F1CEA" w:rsidP="00D9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4"/>
        <w:szCs w:val="14"/>
      </w:rPr>
      <w:id w:val="27532089"/>
      <w:docPartObj>
        <w:docPartGallery w:val="Page Numbers (Top of Page)"/>
        <w:docPartUnique/>
      </w:docPartObj>
    </w:sdtPr>
    <w:sdtEndPr/>
    <w:sdtContent>
      <w:p w:rsidR="001F1CEA" w:rsidRPr="00530D58" w:rsidRDefault="001F1CEA" w:rsidP="00530D58">
        <w:pPr>
          <w:pStyle w:val="a5"/>
          <w:tabs>
            <w:tab w:val="center" w:pos="7852"/>
            <w:tab w:val="left" w:pos="8273"/>
          </w:tabs>
          <w:rPr>
            <w:rFonts w:ascii="Times New Roman" w:hAnsi="Times New Roman" w:cs="Times New Roman"/>
            <w:noProof/>
            <w:sz w:val="14"/>
            <w:szCs w:val="14"/>
          </w:rPr>
        </w:pPr>
        <w:r w:rsidRPr="00530D58">
          <w:rPr>
            <w:rFonts w:ascii="Times New Roman" w:hAnsi="Times New Roman" w:cs="Times New Roman"/>
            <w:sz w:val="14"/>
            <w:szCs w:val="14"/>
          </w:rPr>
          <w:tab/>
        </w:r>
        <w:r w:rsidRPr="00530D58">
          <w:rPr>
            <w:rFonts w:ascii="Times New Roman" w:hAnsi="Times New Roman" w:cs="Times New Roman"/>
            <w:sz w:val="14"/>
            <w:szCs w:val="14"/>
          </w:rPr>
          <w:tab/>
        </w:r>
        <w:r w:rsidRPr="00530D58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530D58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530D58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4515C4">
          <w:rPr>
            <w:rFonts w:ascii="Times New Roman" w:hAnsi="Times New Roman" w:cs="Times New Roman"/>
            <w:noProof/>
            <w:sz w:val="14"/>
            <w:szCs w:val="14"/>
          </w:rPr>
          <w:t>14</w:t>
        </w:r>
        <w:r w:rsidRPr="00530D58">
          <w:rPr>
            <w:rFonts w:ascii="Times New Roman" w:hAnsi="Times New Roman" w:cs="Times New Roman"/>
            <w:noProof/>
            <w:sz w:val="14"/>
            <w:szCs w:val="14"/>
          </w:rPr>
          <w:fldChar w:fldCharType="end"/>
        </w:r>
        <w:r w:rsidRPr="00530D58">
          <w:rPr>
            <w:rFonts w:ascii="Times New Roman" w:hAnsi="Times New Roman" w:cs="Times New Roman"/>
            <w:noProof/>
            <w:sz w:val="14"/>
            <w:szCs w:val="14"/>
          </w:rPr>
          <w:tab/>
        </w:r>
      </w:p>
      <w:p w:rsidR="001F1CEA" w:rsidRPr="00530D58" w:rsidRDefault="004515C4" w:rsidP="00D61352">
        <w:pPr>
          <w:pStyle w:val="a5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F0"/>
    <w:rsid w:val="00007F77"/>
    <w:rsid w:val="0001730A"/>
    <w:rsid w:val="0001755B"/>
    <w:rsid w:val="000254AF"/>
    <w:rsid w:val="00043294"/>
    <w:rsid w:val="00045371"/>
    <w:rsid w:val="00057FF9"/>
    <w:rsid w:val="00062CE3"/>
    <w:rsid w:val="000745FA"/>
    <w:rsid w:val="00093390"/>
    <w:rsid w:val="000A5327"/>
    <w:rsid w:val="000A5BB3"/>
    <w:rsid w:val="000B37BC"/>
    <w:rsid w:val="000C1AAE"/>
    <w:rsid w:val="000D3903"/>
    <w:rsid w:val="000D65B4"/>
    <w:rsid w:val="000E4F4C"/>
    <w:rsid w:val="000E68D7"/>
    <w:rsid w:val="000F11BD"/>
    <w:rsid w:val="0014342D"/>
    <w:rsid w:val="00182E68"/>
    <w:rsid w:val="001869C9"/>
    <w:rsid w:val="001A40D3"/>
    <w:rsid w:val="001B1C4C"/>
    <w:rsid w:val="001B6867"/>
    <w:rsid w:val="001B7A26"/>
    <w:rsid w:val="001D7B08"/>
    <w:rsid w:val="001E7EA4"/>
    <w:rsid w:val="001F1CEA"/>
    <w:rsid w:val="001F65B7"/>
    <w:rsid w:val="001F7561"/>
    <w:rsid w:val="00204E31"/>
    <w:rsid w:val="002142FB"/>
    <w:rsid w:val="00253D7B"/>
    <w:rsid w:val="00263D06"/>
    <w:rsid w:val="00263F57"/>
    <w:rsid w:val="00273CC0"/>
    <w:rsid w:val="0027759A"/>
    <w:rsid w:val="002A0AF8"/>
    <w:rsid w:val="002B7CF5"/>
    <w:rsid w:val="002D0CB5"/>
    <w:rsid w:val="002D57EC"/>
    <w:rsid w:val="002F7D29"/>
    <w:rsid w:val="00301FE9"/>
    <w:rsid w:val="00303372"/>
    <w:rsid w:val="00310B43"/>
    <w:rsid w:val="003127AC"/>
    <w:rsid w:val="0031672C"/>
    <w:rsid w:val="003251D4"/>
    <w:rsid w:val="00325234"/>
    <w:rsid w:val="00351FFF"/>
    <w:rsid w:val="003545C0"/>
    <w:rsid w:val="00361B8A"/>
    <w:rsid w:val="00365336"/>
    <w:rsid w:val="003714E7"/>
    <w:rsid w:val="00372132"/>
    <w:rsid w:val="0037443F"/>
    <w:rsid w:val="00377A03"/>
    <w:rsid w:val="00380807"/>
    <w:rsid w:val="003A4CE3"/>
    <w:rsid w:val="003D1ED0"/>
    <w:rsid w:val="003D334A"/>
    <w:rsid w:val="003D3CFA"/>
    <w:rsid w:val="003F34D8"/>
    <w:rsid w:val="0040546E"/>
    <w:rsid w:val="004104CB"/>
    <w:rsid w:val="00426D50"/>
    <w:rsid w:val="00433352"/>
    <w:rsid w:val="004515C4"/>
    <w:rsid w:val="00475D4F"/>
    <w:rsid w:val="0048312D"/>
    <w:rsid w:val="0049072C"/>
    <w:rsid w:val="004C4460"/>
    <w:rsid w:val="004D623C"/>
    <w:rsid w:val="00530D58"/>
    <w:rsid w:val="005324C5"/>
    <w:rsid w:val="005447C7"/>
    <w:rsid w:val="00546BCA"/>
    <w:rsid w:val="0055579F"/>
    <w:rsid w:val="00561A9A"/>
    <w:rsid w:val="005A7E60"/>
    <w:rsid w:val="005B1E22"/>
    <w:rsid w:val="005B2F01"/>
    <w:rsid w:val="005C6316"/>
    <w:rsid w:val="005D4FF3"/>
    <w:rsid w:val="00606703"/>
    <w:rsid w:val="00610514"/>
    <w:rsid w:val="00610E06"/>
    <w:rsid w:val="00617C32"/>
    <w:rsid w:val="00624DD5"/>
    <w:rsid w:val="0063012E"/>
    <w:rsid w:val="006357FF"/>
    <w:rsid w:val="00640217"/>
    <w:rsid w:val="0065116E"/>
    <w:rsid w:val="00687F76"/>
    <w:rsid w:val="006A1153"/>
    <w:rsid w:val="006C63C7"/>
    <w:rsid w:val="006F0FA7"/>
    <w:rsid w:val="006F3A73"/>
    <w:rsid w:val="0072090A"/>
    <w:rsid w:val="00721EC8"/>
    <w:rsid w:val="007239F7"/>
    <w:rsid w:val="00732394"/>
    <w:rsid w:val="00735439"/>
    <w:rsid w:val="0075503A"/>
    <w:rsid w:val="0076197E"/>
    <w:rsid w:val="0076374F"/>
    <w:rsid w:val="00766F71"/>
    <w:rsid w:val="0076717A"/>
    <w:rsid w:val="00770592"/>
    <w:rsid w:val="0077081B"/>
    <w:rsid w:val="00770A40"/>
    <w:rsid w:val="0077500F"/>
    <w:rsid w:val="007809DE"/>
    <w:rsid w:val="007A6D6C"/>
    <w:rsid w:val="007A77A5"/>
    <w:rsid w:val="007C3093"/>
    <w:rsid w:val="007D51C8"/>
    <w:rsid w:val="007D7C83"/>
    <w:rsid w:val="007F269A"/>
    <w:rsid w:val="008135F0"/>
    <w:rsid w:val="0081774A"/>
    <w:rsid w:val="00823607"/>
    <w:rsid w:val="0082478C"/>
    <w:rsid w:val="0083121C"/>
    <w:rsid w:val="00876973"/>
    <w:rsid w:val="008A5F94"/>
    <w:rsid w:val="008B257E"/>
    <w:rsid w:val="008E305E"/>
    <w:rsid w:val="008F1B0B"/>
    <w:rsid w:val="008F627D"/>
    <w:rsid w:val="0091009E"/>
    <w:rsid w:val="009158E0"/>
    <w:rsid w:val="0092661B"/>
    <w:rsid w:val="00935DAF"/>
    <w:rsid w:val="00950F72"/>
    <w:rsid w:val="0095419D"/>
    <w:rsid w:val="00962972"/>
    <w:rsid w:val="0096367C"/>
    <w:rsid w:val="00963910"/>
    <w:rsid w:val="0096438B"/>
    <w:rsid w:val="00976969"/>
    <w:rsid w:val="009949E7"/>
    <w:rsid w:val="009C6883"/>
    <w:rsid w:val="009D7BE1"/>
    <w:rsid w:val="009F3A6A"/>
    <w:rsid w:val="00A4206D"/>
    <w:rsid w:val="00A63627"/>
    <w:rsid w:val="00A718B7"/>
    <w:rsid w:val="00A87E29"/>
    <w:rsid w:val="00A91AEC"/>
    <w:rsid w:val="00A95DBA"/>
    <w:rsid w:val="00A96ED9"/>
    <w:rsid w:val="00AC1EBA"/>
    <w:rsid w:val="00AC7C16"/>
    <w:rsid w:val="00AE6209"/>
    <w:rsid w:val="00AF4EA0"/>
    <w:rsid w:val="00B035FE"/>
    <w:rsid w:val="00B12177"/>
    <w:rsid w:val="00B1666A"/>
    <w:rsid w:val="00B24916"/>
    <w:rsid w:val="00B42EF4"/>
    <w:rsid w:val="00B519F9"/>
    <w:rsid w:val="00B77427"/>
    <w:rsid w:val="00BA1ABC"/>
    <w:rsid w:val="00BB6DE4"/>
    <w:rsid w:val="00BD1DFB"/>
    <w:rsid w:val="00BD3976"/>
    <w:rsid w:val="00BE306C"/>
    <w:rsid w:val="00C01B1E"/>
    <w:rsid w:val="00C03CD3"/>
    <w:rsid w:val="00C30C09"/>
    <w:rsid w:val="00C36DD8"/>
    <w:rsid w:val="00C543DA"/>
    <w:rsid w:val="00C65AEC"/>
    <w:rsid w:val="00C70DBD"/>
    <w:rsid w:val="00C9234C"/>
    <w:rsid w:val="00C92A9A"/>
    <w:rsid w:val="00C949B7"/>
    <w:rsid w:val="00C9513F"/>
    <w:rsid w:val="00CA0836"/>
    <w:rsid w:val="00CB423B"/>
    <w:rsid w:val="00CC2416"/>
    <w:rsid w:val="00CD7629"/>
    <w:rsid w:val="00D06D01"/>
    <w:rsid w:val="00D218BE"/>
    <w:rsid w:val="00D21F7B"/>
    <w:rsid w:val="00D36C96"/>
    <w:rsid w:val="00D421C4"/>
    <w:rsid w:val="00D61352"/>
    <w:rsid w:val="00D90206"/>
    <w:rsid w:val="00D9703D"/>
    <w:rsid w:val="00DA2806"/>
    <w:rsid w:val="00DA4E41"/>
    <w:rsid w:val="00DC2B32"/>
    <w:rsid w:val="00DD1C20"/>
    <w:rsid w:val="00DD4B0A"/>
    <w:rsid w:val="00DD54C6"/>
    <w:rsid w:val="00DD5F5A"/>
    <w:rsid w:val="00E1417F"/>
    <w:rsid w:val="00E4058B"/>
    <w:rsid w:val="00E407B7"/>
    <w:rsid w:val="00E47592"/>
    <w:rsid w:val="00E51475"/>
    <w:rsid w:val="00E542CA"/>
    <w:rsid w:val="00E83ECF"/>
    <w:rsid w:val="00E934B1"/>
    <w:rsid w:val="00EA4AEE"/>
    <w:rsid w:val="00EA7D94"/>
    <w:rsid w:val="00EB78C2"/>
    <w:rsid w:val="00EC6555"/>
    <w:rsid w:val="00ED4D6F"/>
    <w:rsid w:val="00EE1E53"/>
    <w:rsid w:val="00EE527C"/>
    <w:rsid w:val="00EF2F6D"/>
    <w:rsid w:val="00F00F59"/>
    <w:rsid w:val="00F168FC"/>
    <w:rsid w:val="00F174CE"/>
    <w:rsid w:val="00F22AE7"/>
    <w:rsid w:val="00F420DB"/>
    <w:rsid w:val="00F5053D"/>
    <w:rsid w:val="00F6514C"/>
    <w:rsid w:val="00F71D3B"/>
    <w:rsid w:val="00F74B68"/>
    <w:rsid w:val="00F768E4"/>
    <w:rsid w:val="00F957A5"/>
    <w:rsid w:val="00F95FDF"/>
    <w:rsid w:val="00FA4280"/>
    <w:rsid w:val="00FA603E"/>
    <w:rsid w:val="00FB3F65"/>
    <w:rsid w:val="00FB7315"/>
    <w:rsid w:val="00FC395A"/>
    <w:rsid w:val="00FC611B"/>
    <w:rsid w:val="00FE1820"/>
    <w:rsid w:val="00FE6496"/>
    <w:rsid w:val="00FF0587"/>
    <w:rsid w:val="00FF57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03D"/>
  </w:style>
  <w:style w:type="paragraph" w:styleId="a7">
    <w:name w:val="footer"/>
    <w:basedOn w:val="a"/>
    <w:link w:val="a8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03D"/>
  </w:style>
  <w:style w:type="paragraph" w:styleId="a9">
    <w:name w:val="annotation text"/>
    <w:basedOn w:val="a"/>
    <w:link w:val="aa"/>
    <w:uiPriority w:val="99"/>
    <w:unhideWhenUsed/>
    <w:rsid w:val="009949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949E7"/>
    <w:rPr>
      <w:rFonts w:cs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03D"/>
  </w:style>
  <w:style w:type="paragraph" w:styleId="a7">
    <w:name w:val="footer"/>
    <w:basedOn w:val="a"/>
    <w:link w:val="a8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03D"/>
  </w:style>
  <w:style w:type="paragraph" w:styleId="a9">
    <w:name w:val="annotation text"/>
    <w:basedOn w:val="a"/>
    <w:link w:val="aa"/>
    <w:uiPriority w:val="99"/>
    <w:unhideWhenUsed/>
    <w:rsid w:val="009949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949E7"/>
    <w:rPr>
      <w:rFonts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85FFB-A6DA-42C9-B1BF-0904C926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2988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home</Company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Alex</dc:creator>
  <cp:lastModifiedBy>uservv</cp:lastModifiedBy>
  <cp:revision>7</cp:revision>
  <cp:lastPrinted>2020-05-21T11:08:00Z</cp:lastPrinted>
  <dcterms:created xsi:type="dcterms:W3CDTF">2020-05-18T12:37:00Z</dcterms:created>
  <dcterms:modified xsi:type="dcterms:W3CDTF">2020-05-21T11:09:00Z</dcterms:modified>
</cp:coreProperties>
</file>