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16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 xml:space="preserve">Приложение </w:t>
      </w:r>
      <w:r w:rsidR="000C1AA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</w:p>
    <w:p w:rsidR="005C6316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постановлению администрации муниципального образования «Город Астрахань» 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 №_______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2 </w:t>
      </w:r>
      <w:r w:rsidRPr="006C63C7">
        <w:rPr>
          <w:rFonts w:ascii="Times New Roman" w:hAnsi="Times New Roman" w:cs="Times New Roman"/>
        </w:rPr>
        <w:t>к муниципальной программе</w:t>
      </w:r>
    </w:p>
    <w:p w:rsidR="005C6316" w:rsidRPr="006C63C7" w:rsidRDefault="005C6316" w:rsidP="00687F76">
      <w:pPr>
        <w:pStyle w:val="ConsPlusNormal"/>
        <w:keepNext/>
        <w:keepLines/>
        <w:widowControl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муниципального образования "Город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Астрахань" "Энергосбережение и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повышение энергетической эффективности</w:t>
      </w:r>
    </w:p>
    <w:p w:rsidR="005C6316" w:rsidRPr="006C63C7" w:rsidRDefault="005C6316" w:rsidP="00EC6555">
      <w:pPr>
        <w:pStyle w:val="ConsPlusNormal"/>
        <w:keepNext/>
        <w:keepLines/>
        <w:widowControl/>
        <w:shd w:val="clear" w:color="auto" w:fill="FFFFFF" w:themeFill="background1"/>
        <w:ind w:left="10632"/>
        <w:rPr>
          <w:rFonts w:ascii="Times New Roman" w:hAnsi="Times New Roman" w:cs="Times New Roman"/>
        </w:rPr>
      </w:pPr>
      <w:r w:rsidRPr="006C63C7">
        <w:rPr>
          <w:rFonts w:ascii="Times New Roman" w:hAnsi="Times New Roman" w:cs="Times New Roman"/>
        </w:rPr>
        <w:t>в городе Астрахани"</w:t>
      </w:r>
    </w:p>
    <w:p w:rsidR="005C6316" w:rsidRPr="00EC6555" w:rsidRDefault="005C6316" w:rsidP="00EC6555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</w:rPr>
      </w:pP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bookmarkStart w:id="0" w:name="P1316"/>
      <w:bookmarkEnd w:id="0"/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РАСПРЕДЕЛЕНИЕ РАСХОДОВ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НА РЕАЛИЗАЦИЮ МУНИЦИПАЛЬНОЙ ПРОГРАММЫ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"ЭНЕРГОСБЕРЕЖЕНИЕ И ПОВЫШЕНИЕ ЭНЕРГЕТИЧЕСКОЙ ЭФФЕКТИВНОСТИ</w:t>
      </w:r>
    </w:p>
    <w:p w:rsidR="005C6316" w:rsidRPr="00EC6555" w:rsidRDefault="005C6316" w:rsidP="00EC6555">
      <w:pPr>
        <w:pStyle w:val="ConsPlusNormal"/>
        <w:keepNext/>
        <w:keepLines/>
        <w:widowControl/>
        <w:jc w:val="center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В ГОРОДЕ АСТРАХАНИ"</w:t>
      </w:r>
    </w:p>
    <w:p w:rsidR="005C6316" w:rsidRPr="00EC6555" w:rsidRDefault="005C6316" w:rsidP="00EC6555">
      <w:pPr>
        <w:pStyle w:val="ConsPlusNormal"/>
        <w:keepNext/>
        <w:keepLines/>
        <w:widowControl/>
        <w:ind w:firstLine="540"/>
        <w:jc w:val="both"/>
        <w:rPr>
          <w:rFonts w:ascii="Times New Roman" w:hAnsi="Times New Roman" w:cs="Times New Roman"/>
        </w:rPr>
      </w:pPr>
    </w:p>
    <w:tbl>
      <w:tblPr>
        <w:tblW w:w="16304" w:type="dxa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"/>
        <w:gridCol w:w="1559"/>
        <w:gridCol w:w="1843"/>
        <w:gridCol w:w="1276"/>
        <w:gridCol w:w="850"/>
        <w:gridCol w:w="709"/>
        <w:gridCol w:w="709"/>
        <w:gridCol w:w="425"/>
        <w:gridCol w:w="1276"/>
        <w:gridCol w:w="992"/>
        <w:gridCol w:w="1134"/>
        <w:gridCol w:w="992"/>
        <w:gridCol w:w="1134"/>
        <w:gridCol w:w="1134"/>
        <w:gridCol w:w="993"/>
        <w:gridCol w:w="994"/>
      </w:tblGrid>
      <w:tr w:rsidR="00310B43" w:rsidRPr="00610E06" w:rsidTr="00F768E4">
        <w:trPr>
          <w:trHeight w:val="131"/>
          <w:tblHeader/>
        </w:trPr>
        <w:tc>
          <w:tcPr>
            <w:tcW w:w="284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N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/п</w:t>
            </w:r>
          </w:p>
        </w:tc>
        <w:tc>
          <w:tcPr>
            <w:tcW w:w="1559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Цели, задачи, наименования программных мероприятий</w:t>
            </w:r>
          </w:p>
        </w:tc>
        <w:tc>
          <w:tcPr>
            <w:tcW w:w="1843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Ответственные исполнители, соисполнители (участники)</w:t>
            </w:r>
          </w:p>
        </w:tc>
        <w:tc>
          <w:tcPr>
            <w:tcW w:w="1276" w:type="dxa"/>
            <w:vMerge w:val="restart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Источники финансирования</w:t>
            </w:r>
          </w:p>
        </w:tc>
        <w:tc>
          <w:tcPr>
            <w:tcW w:w="2693" w:type="dxa"/>
            <w:gridSpan w:val="4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Коды классификации</w:t>
            </w:r>
          </w:p>
        </w:tc>
        <w:tc>
          <w:tcPr>
            <w:tcW w:w="8649" w:type="dxa"/>
            <w:gridSpan w:val="8"/>
          </w:tcPr>
          <w:p w:rsidR="00310B43" w:rsidRPr="00610E06" w:rsidRDefault="00310B43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Планируемые расходы, руб.</w:t>
            </w:r>
          </w:p>
        </w:tc>
      </w:tr>
      <w:tr w:rsidR="00732394" w:rsidRPr="00610E06" w:rsidTr="00F768E4">
        <w:trPr>
          <w:trHeight w:val="73"/>
          <w:tblHeader/>
        </w:trPr>
        <w:tc>
          <w:tcPr>
            <w:tcW w:w="284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vMerge/>
          </w:tcPr>
          <w:p w:rsidR="004104CB" w:rsidRPr="00610E06" w:rsidRDefault="004104CB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раздел, подраздел</w:t>
            </w:r>
          </w:p>
        </w:tc>
        <w:tc>
          <w:tcPr>
            <w:tcW w:w="709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целевая статья</w:t>
            </w:r>
          </w:p>
        </w:tc>
        <w:tc>
          <w:tcPr>
            <w:tcW w:w="709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вид расходов</w:t>
            </w:r>
          </w:p>
        </w:tc>
        <w:tc>
          <w:tcPr>
            <w:tcW w:w="425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КОСГУ</w:t>
            </w:r>
          </w:p>
        </w:tc>
        <w:tc>
          <w:tcPr>
            <w:tcW w:w="1276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всего</w:t>
            </w:r>
          </w:p>
        </w:tc>
        <w:tc>
          <w:tcPr>
            <w:tcW w:w="992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2016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2017 год</w:t>
            </w:r>
          </w:p>
        </w:tc>
        <w:tc>
          <w:tcPr>
            <w:tcW w:w="992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2018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2019 год</w:t>
            </w:r>
          </w:p>
        </w:tc>
        <w:tc>
          <w:tcPr>
            <w:tcW w:w="113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2020 год</w:t>
            </w:r>
          </w:p>
        </w:tc>
        <w:tc>
          <w:tcPr>
            <w:tcW w:w="993" w:type="dxa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2021 год</w:t>
            </w:r>
          </w:p>
        </w:tc>
        <w:tc>
          <w:tcPr>
            <w:tcW w:w="994" w:type="dxa"/>
          </w:tcPr>
          <w:p w:rsidR="004104CB" w:rsidRPr="00610E06" w:rsidRDefault="00310B43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2022 год</w:t>
            </w:r>
          </w:p>
        </w:tc>
      </w:tr>
      <w:tr w:rsidR="004104CB" w:rsidRPr="00610E06" w:rsidTr="00732394">
        <w:trPr>
          <w:trHeight w:val="55"/>
        </w:trPr>
        <w:tc>
          <w:tcPr>
            <w:tcW w:w="284" w:type="dxa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026" w:type="dxa"/>
            <w:gridSpan w:val="14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Муниципальная программа муниципального образования "Город Астрахань" "Энергосбережение и повышение энергетической эффективности в городе Астрахани"</w:t>
            </w:r>
          </w:p>
        </w:tc>
        <w:tc>
          <w:tcPr>
            <w:tcW w:w="994" w:type="dxa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1F1CEA" w:rsidRPr="00610E06" w:rsidTr="00732394">
        <w:trPr>
          <w:trHeight w:val="1025"/>
        </w:trPr>
        <w:tc>
          <w:tcPr>
            <w:tcW w:w="284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1F1CEA" w:rsidRPr="00610E06" w:rsidRDefault="001F1CEA" w:rsidP="001A40D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Муниципальная программа "Энергосбережение и повышение энергетической э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ффективности в городе Астрахани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</w:t>
            </w:r>
          </w:p>
        </w:tc>
        <w:tc>
          <w:tcPr>
            <w:tcW w:w="1843" w:type="dxa"/>
            <w:shd w:val="clear" w:color="auto" w:fill="auto"/>
          </w:tcPr>
          <w:p w:rsidR="001F1CEA" w:rsidRPr="00610E06" w:rsidRDefault="001F1CEA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 "Город Астрахань",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МУП г. Астрахани "Астрводоканал",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Астрахань", бюджет Астраханской области, 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1F1CEA" w:rsidRPr="00610E06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1F1CEA" w:rsidRPr="002D0CB5" w:rsidRDefault="001F1CEA" w:rsidP="00182E6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1 162 3</w:t>
            </w:r>
            <w:r w:rsidR="00182E68">
              <w:rPr>
                <w:rFonts w:ascii="Times New Roman" w:hAnsi="Times New Roman" w:cs="Times New Roman"/>
                <w:sz w:val="15"/>
                <w:szCs w:val="15"/>
              </w:rPr>
              <w:t>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017,41</w:t>
            </w:r>
          </w:p>
        </w:tc>
        <w:tc>
          <w:tcPr>
            <w:tcW w:w="992" w:type="dxa"/>
            <w:shd w:val="clear" w:color="auto" w:fill="auto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1F1CEA" w:rsidRPr="00057FF9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236 607 702,5</w:t>
            </w:r>
          </w:p>
        </w:tc>
        <w:tc>
          <w:tcPr>
            <w:tcW w:w="1134" w:type="dxa"/>
            <w:shd w:val="clear" w:color="auto" w:fill="auto"/>
          </w:tcPr>
          <w:p w:rsidR="001F1CEA" w:rsidRPr="003127AC" w:rsidRDefault="001F1CEA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auto"/>
          </w:tcPr>
          <w:p w:rsidR="001F1CEA" w:rsidRPr="003127AC" w:rsidRDefault="001F1CEA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1F1CEA" w:rsidRPr="003127AC" w:rsidRDefault="001F1CEA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6 993 076,92</w:t>
            </w:r>
          </w:p>
        </w:tc>
        <w:tc>
          <w:tcPr>
            <w:tcW w:w="994" w:type="dxa"/>
          </w:tcPr>
          <w:p w:rsidR="001F1CEA" w:rsidRPr="003127AC" w:rsidRDefault="001F1CEA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6 993 076,92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Цель 1. Повышение эффективности использования энергетических ресурсов в муниципальном образовании "Город Астрахань"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 "Город Астрахань",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 МУП г. Астрахани "Астрводоканал",                      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                    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Бюджет МО "Город Астрахань", </w:t>
            </w:r>
            <w:r w:rsidR="009949E7">
              <w:rPr>
                <w:rFonts w:ascii="Times New Roman" w:hAnsi="Times New Roman" w:cs="Times New Roman"/>
                <w:sz w:val="15"/>
                <w:szCs w:val="15"/>
              </w:rPr>
              <w:t xml:space="preserve">бюджет Астраханской области,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2D0CB5" w:rsidRDefault="009949E7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1 162 32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017,41</w:t>
            </w:r>
          </w:p>
        </w:tc>
        <w:tc>
          <w:tcPr>
            <w:tcW w:w="992" w:type="dxa"/>
            <w:shd w:val="clear" w:color="auto" w:fill="auto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057FF9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57FF9">
              <w:rPr>
                <w:rFonts w:ascii="Times New Roman" w:hAnsi="Times New Roman" w:cs="Times New Roman"/>
                <w:sz w:val="15"/>
                <w:szCs w:val="15"/>
              </w:rPr>
              <w:t>236 607 702,5</w:t>
            </w:r>
          </w:p>
        </w:tc>
        <w:tc>
          <w:tcPr>
            <w:tcW w:w="1134" w:type="dxa"/>
            <w:shd w:val="clear" w:color="auto" w:fill="auto"/>
          </w:tcPr>
          <w:p w:rsidR="005324C5" w:rsidRPr="003127AC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auto"/>
          </w:tcPr>
          <w:p w:rsidR="005324C5" w:rsidRPr="003127AC" w:rsidRDefault="005324C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5324C5" w:rsidRPr="003127AC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</w:tcPr>
          <w:p w:rsidR="005324C5" w:rsidRPr="003127AC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1.1. Формирование системы информационного просвещения населения муниципального образования "Город Астрахань"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мероприятие 1.1.1. Повышение информированности общества об энергосберегающих технологиях и стимулирование формирования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модели бережливого отношения населения к энергоресурсам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5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1. Разработка рекомендаций по внедрению энергоэффективных технологий при строительстве, реконструкции и эксплуатации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70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 Пропаганда сбережения энергии и сохранения энергоресурсов</w:t>
            </w:r>
          </w:p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732394">
        <w:trPr>
          <w:trHeight w:val="523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3. Проведение анализа потребления энергоресурсов на территории города Астрахани</w:t>
            </w:r>
          </w:p>
        </w:tc>
        <w:tc>
          <w:tcPr>
            <w:tcW w:w="1843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</w:tr>
      <w:tr w:rsidR="00732394" w:rsidRPr="00610E06" w:rsidTr="00CF6A45">
        <w:trPr>
          <w:trHeight w:val="2672"/>
        </w:trPr>
        <w:tc>
          <w:tcPr>
            <w:tcW w:w="28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1.2. Повышение энергетической эффективности на объектах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4104CB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образования)</w:t>
            </w:r>
          </w:p>
          <w:p w:rsidR="00AF55BB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F55BB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F55BB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F55BB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F55BB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AF55BB" w:rsidRPr="00610E06" w:rsidRDefault="00AF55B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ind w:left="-1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732394" w:rsidRPr="00610E06" w:rsidTr="00AF55BB">
        <w:trPr>
          <w:trHeight w:val="796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1.3. Повышение энергетической эффективности в системах коммунальной инфраструктуры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го образования "Город Астрахань»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,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Управление по 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,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                      МУП г. Астрахани "Астрводоканал",                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               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401 440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4104CB" w:rsidRPr="00610E06" w:rsidRDefault="004104CB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 w:rsidR="009C6883"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4104CB" w:rsidRPr="00610E06" w:rsidRDefault="004104CB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4104CB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4 02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2 585,55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</w:tcPr>
          <w:p w:rsidR="005324C5" w:rsidRPr="00610E06" w:rsidRDefault="005324C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1F1CEA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361 727 000,00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</w:tcPr>
          <w:p w:rsidR="005324C5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16304" w:type="dxa"/>
            <w:gridSpan w:val="16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Подпрограмма 1 "Энергосбережение социальной сферы"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Цель 1.1. Повышение энергетической эффективности на объектах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Астрахань", 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16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1.1. Оснащение приборами учета муниципальных учреждений социальной сферы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образования)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447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1.1.1. Реализация полномочий в сфере коммунального хозяйства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Астрахань", Управление культуры администрации муниципального образования)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МО "Город Астрахань"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1.1.2. Проведение семинаров на тему "Практическое внедрение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энергосервисных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контрактов"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1.1.3. Анализ потенциала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муниципальных учреждений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1.1.1.4. Проведение конкурсов по энергосбережению и внедрению инновационных технологий среди учащихся муниципальных образовательных учреждений города Астрахани</w:t>
            </w:r>
          </w:p>
        </w:tc>
        <w:tc>
          <w:tcPr>
            <w:tcW w:w="1843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(Управление по образованию и науке администрации муниципального образования "Город Астрахань")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Не требует финансирования</w:t>
            </w:r>
          </w:p>
        </w:tc>
        <w:tc>
          <w:tcPr>
            <w:tcW w:w="850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Подпрограмме 1, в том числе по источникам финансирования: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4 551 431,86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2 615 729,36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1 935 702,50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5324C5" w:rsidRPr="00610E06" w:rsidRDefault="005324C5" w:rsidP="001F65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239"/>
        </w:trPr>
        <w:tc>
          <w:tcPr>
            <w:tcW w:w="16304" w:type="dxa"/>
            <w:gridSpan w:val="16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Подпрограмма 2 "Энергосбережение и повышение энергетической эффективности в системах коммунальной инфраструктуры"</w:t>
            </w:r>
          </w:p>
        </w:tc>
      </w:tr>
      <w:tr w:rsidR="00CF6A45" w:rsidRPr="00610E06" w:rsidTr="00732394">
        <w:trPr>
          <w:trHeight w:val="245"/>
        </w:trPr>
        <w:tc>
          <w:tcPr>
            <w:tcW w:w="284" w:type="dxa"/>
            <w:vMerge w:val="restart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Цель 1.2. Повышение энергетической эффективности в системах коммунальной инфраструктуры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"Астрводоканал", 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", 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Всего, в том числе:</w:t>
            </w:r>
          </w:p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Pr="007239F7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1 157 820 585,55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55 458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234 672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85 840 147,65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0D39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1F1CE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76 993 076,92</w:t>
            </w:r>
          </w:p>
        </w:tc>
        <w:tc>
          <w:tcPr>
            <w:tcW w:w="994" w:type="dxa"/>
          </w:tcPr>
          <w:p w:rsidR="00CF6A45" w:rsidRDefault="00CF6A45" w:rsidP="001F1CEA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76 993 076,92</w:t>
            </w:r>
          </w:p>
        </w:tc>
      </w:tr>
      <w:tr w:rsidR="00CF6A45" w:rsidRPr="00610E06" w:rsidTr="00732394">
        <w:trPr>
          <w:trHeight w:val="394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722 071 000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55 458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135 173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263D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CF6A45" w:rsidRPr="00610E06" w:rsidRDefault="00CF6A45" w:rsidP="00263D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CF6A4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50 475 819,74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28 607 588,98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7 523 076,92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9C688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4" w:type="dxa"/>
          </w:tcPr>
          <w:p w:rsidR="00CF6A45" w:rsidRDefault="00CF6A45" w:rsidP="009C688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</w:tr>
      <w:tr w:rsidR="00CF6A45" w:rsidRPr="00610E06" w:rsidTr="00732394">
        <w:trPr>
          <w:trHeight w:val="596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CF6A45" w:rsidRPr="000E4F4C" w:rsidRDefault="00CF6A4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Default="00CF6A4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23 546 765,81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6A45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12 432 558,67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10 974 207,14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  <w:tc>
          <w:tcPr>
            <w:tcW w:w="994" w:type="dxa"/>
          </w:tcPr>
          <w:p w:rsidR="00CF6A45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</w:tr>
      <w:tr w:rsidR="00CF6A4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«Город Астрахань»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377A03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323 800 000,00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1D7B0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</w:tcPr>
          <w:p w:rsidR="00CF6A45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CF6A45" w:rsidRPr="00610E06" w:rsidTr="006357FF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F6A45" w:rsidRDefault="00CF6A4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  <w:p w:rsidR="00CF6A45" w:rsidRDefault="00CF6A4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eastAsia="Calibri" w:hAnsi="Times New Roman" w:cs="Times New Roman"/>
                <w:sz w:val="15"/>
                <w:szCs w:val="15"/>
              </w:rPr>
            </w:pPr>
          </w:p>
          <w:p w:rsidR="00CF6A45" w:rsidRPr="00610E06" w:rsidRDefault="00CF6A45" w:rsidP="007239F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auto"/>
          </w:tcPr>
          <w:p w:rsidR="00CF6A45" w:rsidRPr="00610E06" w:rsidRDefault="00CF6A4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CF6A45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37 927 000,00</w:t>
            </w:r>
          </w:p>
        </w:tc>
        <w:tc>
          <w:tcPr>
            <w:tcW w:w="992" w:type="dxa"/>
            <w:shd w:val="clear" w:color="auto" w:fill="auto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F6A45" w:rsidRDefault="00CF6A4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1134" w:type="dxa"/>
            <w:shd w:val="clear" w:color="auto" w:fill="auto"/>
          </w:tcPr>
          <w:p w:rsidR="00CF6A45" w:rsidRPr="00610E06" w:rsidRDefault="00CF6A45" w:rsidP="001D7B08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17 927 000,00</w:t>
            </w:r>
          </w:p>
        </w:tc>
        <w:tc>
          <w:tcPr>
            <w:tcW w:w="993" w:type="dxa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</w:tcPr>
          <w:p w:rsidR="00CF6A45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CF6A45" w:rsidRPr="00610E06" w:rsidTr="00CF6A45">
        <w:trPr>
          <w:trHeight w:val="796"/>
        </w:trPr>
        <w:tc>
          <w:tcPr>
            <w:tcW w:w="284" w:type="dxa"/>
            <w:vMerge w:val="restart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17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2.1. Повышение энергетической эффективности в сфере водоснабжения и водоотведения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E4F4C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</w:t>
            </w:r>
            <w:r w:rsidRPr="000E4F4C">
              <w:rPr>
                <w:rFonts w:ascii="Times New Roman" w:eastAsia="Calibri" w:hAnsi="Times New Roman" w:cs="Times New Roman"/>
                <w:sz w:val="15"/>
                <w:szCs w:val="15"/>
              </w:rPr>
              <w:t>администрации муниципального образования «Город Астрахань»</w:t>
            </w:r>
          </w:p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711 654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50 265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CF6A45" w:rsidRPr="00610E06" w:rsidTr="00CF6A45">
        <w:trPr>
          <w:trHeight w:val="909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F957A5">
            <w:pPr>
              <w:pStyle w:val="a9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6A45" w:rsidRPr="00F957A5" w:rsidRDefault="00CF6A45" w:rsidP="00325234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59 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438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 610,88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499 000,00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28 056 172,98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16 897 284,06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F6A45" w:rsidRPr="00F957A5" w:rsidRDefault="00CF6A45" w:rsidP="001F1CEA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3 076,92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CF6A45" w:rsidRPr="00F957A5" w:rsidRDefault="00CF6A45" w:rsidP="001F1CEA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6 9</w:t>
            </w:r>
            <w:r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</w:t>
            </w: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3 076,92</w:t>
            </w: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326 927 000,00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99 000 000,00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87 927 000,00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70 000 000,00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CF6A45" w:rsidRPr="00F957A5" w:rsidRDefault="00CF6A4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957A5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70 000 000,00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2.1.1. Внедрение автоматических станций управления на ПНС и КНС с заменой насосного оборудования (20 ПНС и 3 КНС)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19 834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19 834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2.1.2. Внедрение автоматических станций управления на ПНС и КНС с заменой насосного оборудования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30 431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30 431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2.1.3. Внедрение автоматических станций управления на КНС с заменой насосного оборудования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4058B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2.1.4. Замена насосного оборудования и запорной арматуры для снижения потерь.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Замена пусковой аппаратуры с применением ПЧ на насосах 1 - 2 подъема ЛОСВ, ПОСВ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, ПОСВ1, ВОС (1 - 2 подъемы)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администрации муниципального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131 389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2.1.5. Внедрение управляемых воздуходувок в системах биологической очистки на очистных сооружениях канализации (СОСК, ЮОСК, ПОСК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2.1.6. Частичная замена насосного оборудования на сооружениях водоснабжения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"Астрводоканал")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377A0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2.1.7.</w:t>
            </w:r>
          </w:p>
          <w:p w:rsidR="005324C5" w:rsidRPr="00610E06" w:rsidRDefault="005324C5" w:rsidP="00377A0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Приобретение оборудования  и материалов для реализации мероприятий, направленных  на модернизацию и повышение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водопроводно-канализационного хозяйства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E4058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и благоустройству администрации муниципального образования "Город Астрахань"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88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C949B7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73543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2.1.8. Монтаж</w:t>
            </w:r>
            <w:r w:rsidRPr="00610E06">
              <w:rPr>
                <w:sz w:val="15"/>
                <w:szCs w:val="15"/>
              </w:rPr>
              <w:t xml:space="preserve">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приобретенного оборудования и материалов для реализации мероприятий, направленных на модернизацию и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повышение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энергоэффективности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водопроводно-канализационного хозяйства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28 356 172,98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300 000,00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28 056 172,98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CF6A45">
        <w:trPr>
          <w:trHeight w:val="1691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26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2.1.9. Оказание услуг по проведению экспертизы результатов, предусмотренных контрактом, в части их соответствия условиям контракта № 300 от 30.11.2018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C543D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2.1.10. Реконструкция системы ливневой канализации с насосной станцией, расположенной по адресу: ул. Бурова, 2 «А», в Кировском районе г. Астрахани, с организацией очистки сброса поверхностных вод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4 982 100,0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4 982 100,0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CF6A45">
        <w:trPr>
          <w:trHeight w:val="1431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8 854 300,00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8 854 300,00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2.1.11. Реконструкция системы ливневой канализации с насосной станцией, расположенной по адресу: ул. Харьковская, 28 «А», в Советском районе г. Астрахани, с организацией очистки сброса поверхностных вод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FA4280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4 992 107,14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4 992 107,14</w:t>
            </w:r>
          </w:p>
          <w:p w:rsidR="005324C5" w:rsidRPr="00610E06" w:rsidRDefault="005324C5" w:rsidP="006A1153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324C5" w:rsidRPr="00610E06" w:rsidTr="00CF6A45">
        <w:trPr>
          <w:trHeight w:val="1606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9 072 700,00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9 072 700,00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973A31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2.1.12. Реализация мероприятий, направленных на обеспечение функционирования </w:t>
            </w:r>
          </w:p>
          <w:p w:rsidR="00CF6A45" w:rsidRPr="00610E06" w:rsidRDefault="00CF6A45" w:rsidP="00CF6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объектов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водоснабжения и водоотведения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bookmarkStart w:id="1" w:name="_GoBack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. </w:t>
            </w:r>
            <w:r w:rsidRPr="00724386">
              <w:rPr>
                <w:rFonts w:ascii="Times New Roman" w:hAnsi="Times New Roman" w:cs="Times New Roman"/>
                <w:sz w:val="15"/>
                <w:szCs w:val="15"/>
              </w:rPr>
              <w:t>приобретение оборудования, материалов для ремонта водопроводно-канализационных сетей и сооружений, расположенных на территории муниципального образования Астраханской области;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724386">
              <w:rPr>
                <w:rFonts w:ascii="Times New Roman" w:hAnsi="Times New Roman" w:cs="Times New Roman"/>
                <w:sz w:val="15"/>
                <w:szCs w:val="15"/>
              </w:rPr>
              <w:t>приобретение диагностическо-инспекционного оборудования для сетей и сооружений; приобретение специализированной техники; разработку (корректировку) схем водоснабжения и водоотведения; проведение технического аудита муни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ципальных унитарных предприятий)</w:t>
            </w:r>
            <w:bookmarkEnd w:id="1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973A31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 xml:space="preserve">Управление по коммунальному хозяйству и благоустройству администрации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муниципального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  <w:p w:rsidR="00CF6A45" w:rsidRPr="00610E06" w:rsidRDefault="00CF6A45" w:rsidP="00FB731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2F7D2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20 769 230,76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3" w:type="dxa"/>
            <w:shd w:val="clear" w:color="auto" w:fill="FFFFFF" w:themeFill="background1"/>
          </w:tcPr>
          <w:p w:rsidR="00CF6A45" w:rsidRPr="00610E06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CF6A45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923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3127AC">
              <w:rPr>
                <w:rFonts w:ascii="Times New Roman" w:hAnsi="Times New Roman" w:cs="Times New Roman"/>
                <w:sz w:val="15"/>
                <w:szCs w:val="15"/>
              </w:rPr>
              <w:t>076,92</w:t>
            </w: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6A45" w:rsidRDefault="00CF6A45" w:rsidP="00CF6A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CF6A45" w:rsidRPr="00CF6A45" w:rsidRDefault="00CF6A45" w:rsidP="00CF6A4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210 0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00 0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70 000 000,00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70 000 000,00</w:t>
            </w: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FB731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FB731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капитальному строительству администрации муниципального образования "Город Астрахань  </w:t>
            </w: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F6A45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140 000,00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CF6A45" w:rsidRDefault="00CF6A45" w:rsidP="00CB423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70 000,00</w:t>
            </w: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2.2. Повышение энергетической эффективности в сфере теплоснабжения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8 877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5 093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3 784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CF6A45" w:rsidRPr="00610E06" w:rsidRDefault="00CF6A4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CF6A45" w:rsidRPr="00610E06" w:rsidTr="00CF6A45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CF6A45" w:rsidRPr="00610E06" w:rsidRDefault="00CF6A4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CF6A45" w:rsidRPr="009949E7" w:rsidRDefault="00CF6A45" w:rsidP="00F957A5">
            <w:pPr>
              <w:pStyle w:val="a9"/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CF6A45" w:rsidRPr="00610E06" w:rsidRDefault="00CF6A4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14 583 974,67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12 983 974,67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1 600 000,00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CF6A45" w:rsidRPr="00F957A5" w:rsidRDefault="00CF6A4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F957A5" w:rsidRPr="00610E06" w:rsidTr="006357FF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7A5" w:rsidRPr="00610E06" w:rsidRDefault="00F957A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F957A5" w:rsidRPr="009949E7" w:rsidRDefault="00F957A5" w:rsidP="009949E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949E7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F957A5" w:rsidRPr="00610E06" w:rsidRDefault="00F957A5" w:rsidP="001F1CE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34 800 000,00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34 800 000,00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F957A5" w:rsidRPr="00F957A5" w:rsidRDefault="00F957A5" w:rsidP="00F957A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957A5">
              <w:rPr>
                <w:rFonts w:ascii="Times New Roman" w:hAnsi="Times New Roman" w:cs="Times New Roman"/>
                <w:sz w:val="15"/>
                <w:szCs w:val="15"/>
              </w:rPr>
              <w:t>0,00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2.2.1.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2 607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1 287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 1 320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2.2.2. Замена на котельной N Т-2 насоса исходной воды К90 - 85 на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энергосберегающий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396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198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842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33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2.2.3.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Т-2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1 320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660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660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2.2.4. Замена на котельной N Т-6 сетевого насоса ЦН 400 - 105 на 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энергосберегающий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2.2.5.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Т-6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2 508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1 254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2.2.6. Приобретение новых электродвигателей (с классом изоляции F) и установка на их приводы регуляторов частоты вращения для насосного и тягодутьевого оборудования котельной N Т-44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704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352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5324C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0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2.2.7. Приобретение переносных газоанализаторов для котельных N Т-1, Т-2, Т-6, Т-44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коммунальному хозяйству и благоустройству администрации муниципального образования "Город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Астрахань"             (МУП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Коммунэнерго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242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lastRenderedPageBreak/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2.2.8 Проведение мероприятий по текущему ремонту объектов теплоснабжения, находящих в муниципальной собственности (реконструкция автоматики безопасности зала котлов ДКВР котельной Т-6 по ул.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</w:t>
            </w:r>
            <w:proofErr w:type="gram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.Н</w:t>
            </w:r>
            <w:proofErr w:type="gram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ахимова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, 60)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1 151 416,00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551 416,00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600 000,00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6357FF">
        <w:trPr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Мероприятие 2.2.9. Строительство 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блочно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-модульной котельной по ул. 2-й проезд Мостостроителей в Трусовском районе г. Астрахани, в том числе ПИР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5324C5" w:rsidRPr="00610E06" w:rsidRDefault="005324C5" w:rsidP="00F420D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Управление по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капитальному строительству 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администрации муниципального образования "Город Астрахань"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МО «Город Астрахань»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  <w:p w:rsidR="005324C5" w:rsidRPr="00610E06" w:rsidRDefault="005324C5" w:rsidP="00E4759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13 432 558,67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12 432 558,67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1 000 000,00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  <w:shd w:val="clear" w:color="auto" w:fill="auto"/>
          </w:tcPr>
          <w:p w:rsidR="005324C5" w:rsidRPr="00610E06" w:rsidRDefault="005324C5" w:rsidP="0040546E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 Астраханской области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20 000 000,00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shd w:val="clear" w:color="auto" w:fill="auto"/>
          </w:tcPr>
          <w:p w:rsidR="005324C5" w:rsidRPr="00610E06" w:rsidRDefault="005324C5" w:rsidP="00F420D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Задача 2.3. Повышение энергетической эффективности в сфере наружного освещения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D6135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1 540 000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B42EF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 w:val="restart"/>
          </w:tcPr>
          <w:p w:rsidR="005324C5" w:rsidRPr="00610E06" w:rsidRDefault="005324C5" w:rsidP="00F420D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1559" w:type="dxa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Мероприятие 2.3.1. Перевод электрической котельной на газовое топливо</w:t>
            </w:r>
          </w:p>
        </w:tc>
        <w:tc>
          <w:tcPr>
            <w:tcW w:w="1843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Управление по коммунальному хозяйству и благоустройству администрации муниципального образования "Город Астрахань" (МКП г. Астрахани "</w:t>
            </w:r>
            <w:proofErr w:type="spellStart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Горсвет</w:t>
            </w:r>
            <w:proofErr w:type="spellEnd"/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")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850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709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425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735439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1 540 000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106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Подпрограмме 2, в том числе по источникам финансирования: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7239F7" w:rsidRDefault="00325234" w:rsidP="00D21F7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1 157 </w:t>
            </w:r>
            <w:r w:rsidR="005324C5">
              <w:rPr>
                <w:rFonts w:ascii="Times New Roman" w:hAnsi="Times New Roman" w:cs="Times New Roman"/>
                <w:b/>
                <w:sz w:val="15"/>
                <w:szCs w:val="15"/>
              </w:rPr>
              <w:t>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</w:t>
            </w:r>
            <w:r w:rsidR="005324C5">
              <w:rPr>
                <w:rFonts w:ascii="Times New Roman" w:hAnsi="Times New Roman" w:cs="Times New Roman"/>
                <w:b/>
                <w:sz w:val="15"/>
                <w:szCs w:val="15"/>
              </w:rPr>
              <w:t>0 585,55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401 440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3D3CFA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234 672 000,00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610E06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0D390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FE1820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9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FE1820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9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4 022 585,55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499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325234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6 99</w:t>
            </w:r>
            <w:r w:rsidR="005324C5"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Астраханской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B12177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727 000,00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950F72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263D06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Итого по Программе, в том числе по источникам финансирования: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1 162 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37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2 017,41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55 458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404 055 729,36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236 607 702,5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ind w:left="-62" w:right="-13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185 840 147,65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104C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126 424 284,06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C9513F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 99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="00C9513F"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="00325234">
              <w:rPr>
                <w:rFonts w:ascii="Times New Roman" w:hAnsi="Times New Roman" w:cs="Times New Roman"/>
                <w:b/>
                <w:sz w:val="15"/>
                <w:szCs w:val="15"/>
              </w:rPr>
              <w:t> 99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бюджет муниципального образования "Город Астрахань":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78 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57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4 017,41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2 615 729,36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876973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2 434 702,5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41 040 147,65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104CB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18 497 284,06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325234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6 99</w:t>
            </w:r>
            <w:r w:rsidR="005324C5"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25234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6 9</w:t>
            </w:r>
            <w:r w:rsidR="00325234">
              <w:rPr>
                <w:rFonts w:ascii="Times New Roman" w:hAnsi="Times New Roman" w:cs="Times New Roman"/>
                <w:sz w:val="15"/>
                <w:szCs w:val="15"/>
              </w:rPr>
              <w:t>9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3 076,92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 xml:space="preserve">бюджет Астраханской области 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361 727 000,00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48312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99 000 000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34 800 000,00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87 927 000,00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C70DBD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70 000 000,00</w:t>
            </w:r>
          </w:p>
        </w:tc>
      </w:tr>
      <w:tr w:rsidR="005324C5" w:rsidRPr="00610E06" w:rsidTr="00732394">
        <w:trPr>
          <w:trHeight w:val="73"/>
        </w:trPr>
        <w:tc>
          <w:tcPr>
            <w:tcW w:w="284" w:type="dxa"/>
            <w:vMerge/>
          </w:tcPr>
          <w:p w:rsidR="005324C5" w:rsidRPr="00610E06" w:rsidRDefault="005324C5" w:rsidP="00EC6555">
            <w:pPr>
              <w:keepNext/>
              <w:keepLines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371" w:type="dxa"/>
            <w:gridSpan w:val="7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722 071 000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55 458 000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401 440 000</w:t>
            </w:r>
          </w:p>
        </w:tc>
        <w:tc>
          <w:tcPr>
            <w:tcW w:w="992" w:type="dxa"/>
            <w:shd w:val="clear" w:color="auto" w:fill="FFFFFF" w:themeFill="background1"/>
          </w:tcPr>
          <w:p w:rsidR="005324C5" w:rsidRPr="00610E06" w:rsidRDefault="005324C5" w:rsidP="00EC6555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135 173 000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110 000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1134" w:type="dxa"/>
            <w:shd w:val="clear" w:color="auto" w:fill="FFFFFF" w:themeFill="background1"/>
          </w:tcPr>
          <w:p w:rsidR="005324C5" w:rsidRPr="00610E06" w:rsidRDefault="005324C5" w:rsidP="00A91AE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20 000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 </w:t>
            </w: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000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,00</w:t>
            </w:r>
          </w:p>
        </w:tc>
        <w:tc>
          <w:tcPr>
            <w:tcW w:w="993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10E06"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</w:tcPr>
          <w:p w:rsidR="005324C5" w:rsidRPr="00610E06" w:rsidRDefault="005324C5" w:rsidP="003127AC">
            <w:pPr>
              <w:pStyle w:val="ConsPlusNorma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0</w:t>
            </w:r>
          </w:p>
        </w:tc>
      </w:tr>
    </w:tbl>
    <w:p w:rsidR="005C6316" w:rsidRPr="00EC6555" w:rsidRDefault="005C6316" w:rsidP="00EC6555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</w:p>
    <w:p w:rsidR="00823607" w:rsidRDefault="001B6867" w:rsidP="00823607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н</w:t>
      </w:r>
      <w:r w:rsidR="0014342D">
        <w:rPr>
          <w:rFonts w:ascii="Times New Roman" w:hAnsi="Times New Roman" w:cs="Times New Roman"/>
        </w:rPr>
        <w:t>а</w:t>
      </w:r>
      <w:r w:rsidR="00823607">
        <w:rPr>
          <w:rFonts w:ascii="Times New Roman" w:hAnsi="Times New Roman" w:cs="Times New Roman"/>
        </w:rPr>
        <w:t>чальник</w:t>
      </w:r>
      <w:r>
        <w:rPr>
          <w:rFonts w:ascii="Times New Roman" w:hAnsi="Times New Roman" w:cs="Times New Roman"/>
        </w:rPr>
        <w:t>а</w:t>
      </w:r>
      <w:r w:rsidR="00823607">
        <w:rPr>
          <w:rFonts w:ascii="Times New Roman" w:hAnsi="Times New Roman" w:cs="Times New Roman"/>
        </w:rPr>
        <w:t xml:space="preserve"> управления  по коммунальному хозяйству и благоустройству </w:t>
      </w:r>
    </w:p>
    <w:p w:rsidR="00823607" w:rsidRPr="00EC6555" w:rsidRDefault="00823607" w:rsidP="00823607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образования «Город Астрахань» </w:t>
      </w:r>
    </w:p>
    <w:p w:rsidR="005C6316" w:rsidRPr="00EC6555" w:rsidRDefault="005C6316" w:rsidP="0040546E">
      <w:pPr>
        <w:pStyle w:val="ConsPlusNormal"/>
        <w:keepNext/>
        <w:keepLines/>
        <w:widowControl/>
        <w:jc w:val="right"/>
        <w:rPr>
          <w:rFonts w:ascii="Times New Roman" w:hAnsi="Times New Roman" w:cs="Times New Roman"/>
        </w:rPr>
      </w:pPr>
      <w:r w:rsidRPr="00EC6555">
        <w:rPr>
          <w:rFonts w:ascii="Times New Roman" w:hAnsi="Times New Roman" w:cs="Times New Roman"/>
        </w:rPr>
        <w:t>____________</w:t>
      </w:r>
      <w:r w:rsidR="00823607">
        <w:rPr>
          <w:rFonts w:ascii="Times New Roman" w:hAnsi="Times New Roman" w:cs="Times New Roman"/>
        </w:rPr>
        <w:t xml:space="preserve">__ </w:t>
      </w:r>
      <w:r w:rsidR="003251D4">
        <w:rPr>
          <w:rFonts w:ascii="Times New Roman" w:hAnsi="Times New Roman" w:cs="Times New Roman"/>
        </w:rPr>
        <w:t>Б</w:t>
      </w:r>
      <w:r w:rsidR="001B6867">
        <w:rPr>
          <w:rFonts w:ascii="Times New Roman" w:hAnsi="Times New Roman" w:cs="Times New Roman"/>
        </w:rPr>
        <w:t>.</w:t>
      </w:r>
      <w:r w:rsidR="003251D4">
        <w:rPr>
          <w:rFonts w:ascii="Times New Roman" w:hAnsi="Times New Roman" w:cs="Times New Roman"/>
        </w:rPr>
        <w:t>С</w:t>
      </w:r>
      <w:r w:rsidR="001B6867">
        <w:rPr>
          <w:rFonts w:ascii="Times New Roman" w:hAnsi="Times New Roman" w:cs="Times New Roman"/>
        </w:rPr>
        <w:t xml:space="preserve">. </w:t>
      </w:r>
      <w:proofErr w:type="spellStart"/>
      <w:r w:rsidR="003251D4">
        <w:rPr>
          <w:rFonts w:ascii="Times New Roman" w:hAnsi="Times New Roman" w:cs="Times New Roman"/>
        </w:rPr>
        <w:t>Джукесова</w:t>
      </w:r>
      <w:proofErr w:type="spellEnd"/>
    </w:p>
    <w:sectPr w:rsidR="005C6316" w:rsidRPr="00EC6555" w:rsidSect="002009C1">
      <w:headerReference w:type="default" r:id="rId8"/>
      <w:pgSz w:w="17294" w:h="11907" w:orient="landscape" w:code="9"/>
      <w:pgMar w:top="851" w:right="567" w:bottom="680" w:left="851" w:header="51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45" w:rsidRDefault="00CF6A45" w:rsidP="00D9703D">
      <w:pPr>
        <w:spacing w:after="0" w:line="240" w:lineRule="auto"/>
      </w:pPr>
      <w:r>
        <w:separator/>
      </w:r>
    </w:p>
  </w:endnote>
  <w:endnote w:type="continuationSeparator" w:id="0">
    <w:p w:rsidR="00CF6A45" w:rsidRDefault="00CF6A45" w:rsidP="00D97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45" w:rsidRDefault="00CF6A45" w:rsidP="00D9703D">
      <w:pPr>
        <w:spacing w:after="0" w:line="240" w:lineRule="auto"/>
      </w:pPr>
      <w:r>
        <w:separator/>
      </w:r>
    </w:p>
  </w:footnote>
  <w:footnote w:type="continuationSeparator" w:id="0">
    <w:p w:rsidR="00CF6A45" w:rsidRDefault="00CF6A45" w:rsidP="00D97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4"/>
        <w:szCs w:val="14"/>
      </w:rPr>
      <w:id w:val="-989865520"/>
      <w:docPartObj>
        <w:docPartGallery w:val="Page Numbers (Top of Page)"/>
        <w:docPartUnique/>
      </w:docPartObj>
    </w:sdtPr>
    <w:sdtContent>
      <w:p w:rsidR="00CF6A45" w:rsidRPr="00530D58" w:rsidRDefault="00CF6A45" w:rsidP="00530D58">
        <w:pPr>
          <w:pStyle w:val="a5"/>
          <w:tabs>
            <w:tab w:val="center" w:pos="7852"/>
            <w:tab w:val="left" w:pos="8273"/>
          </w:tabs>
          <w:rPr>
            <w:rFonts w:ascii="Times New Roman" w:hAnsi="Times New Roman" w:cs="Times New Roman"/>
            <w:noProof/>
            <w:sz w:val="14"/>
            <w:szCs w:val="14"/>
          </w:rPr>
        </w:pPr>
        <w:r w:rsidRPr="00530D58">
          <w:rPr>
            <w:rFonts w:ascii="Times New Roman" w:hAnsi="Times New Roman" w:cs="Times New Roman"/>
            <w:sz w:val="14"/>
            <w:szCs w:val="14"/>
          </w:rPr>
          <w:tab/>
        </w:r>
        <w:r w:rsidRPr="00530D58">
          <w:rPr>
            <w:rFonts w:ascii="Times New Roman" w:hAnsi="Times New Roman" w:cs="Times New Roman"/>
            <w:sz w:val="14"/>
            <w:szCs w:val="14"/>
          </w:rPr>
          <w:tab/>
        </w:r>
        <w:r w:rsidRPr="00530D58">
          <w:rPr>
            <w:rFonts w:ascii="Times New Roman" w:hAnsi="Times New Roman" w:cs="Times New Roman"/>
            <w:sz w:val="14"/>
            <w:szCs w:val="14"/>
          </w:rPr>
          <w:fldChar w:fldCharType="begin"/>
        </w:r>
        <w:r w:rsidRPr="00530D58">
          <w:rPr>
            <w:rFonts w:ascii="Times New Roman" w:hAnsi="Times New Roman" w:cs="Times New Roman"/>
            <w:sz w:val="14"/>
            <w:szCs w:val="14"/>
          </w:rPr>
          <w:instrText xml:space="preserve"> PAGE   \* MERGEFORMAT </w:instrText>
        </w:r>
        <w:r w:rsidRPr="00530D58">
          <w:rPr>
            <w:rFonts w:ascii="Times New Roman" w:hAnsi="Times New Roman" w:cs="Times New Roman"/>
            <w:sz w:val="14"/>
            <w:szCs w:val="14"/>
          </w:rPr>
          <w:fldChar w:fldCharType="separate"/>
        </w:r>
        <w:r w:rsidR="00D27987">
          <w:rPr>
            <w:rFonts w:ascii="Times New Roman" w:hAnsi="Times New Roman" w:cs="Times New Roman"/>
            <w:noProof/>
            <w:sz w:val="14"/>
            <w:szCs w:val="14"/>
          </w:rPr>
          <w:t>10</w:t>
        </w:r>
        <w:r w:rsidRPr="00530D58">
          <w:rPr>
            <w:rFonts w:ascii="Times New Roman" w:hAnsi="Times New Roman" w:cs="Times New Roman"/>
            <w:noProof/>
            <w:sz w:val="14"/>
            <w:szCs w:val="14"/>
          </w:rPr>
          <w:fldChar w:fldCharType="end"/>
        </w:r>
        <w:r w:rsidRPr="00530D58">
          <w:rPr>
            <w:rFonts w:ascii="Times New Roman" w:hAnsi="Times New Roman" w:cs="Times New Roman"/>
            <w:noProof/>
            <w:sz w:val="14"/>
            <w:szCs w:val="14"/>
          </w:rPr>
          <w:tab/>
        </w:r>
      </w:p>
      <w:p w:rsidR="00CF6A45" w:rsidRPr="00530D58" w:rsidRDefault="00CF6A45" w:rsidP="00D61352">
        <w:pPr>
          <w:pStyle w:val="a5"/>
          <w:jc w:val="center"/>
          <w:rPr>
            <w:rFonts w:ascii="Times New Roman" w:hAnsi="Times New Roman" w:cs="Times New Roman"/>
            <w:sz w:val="14"/>
            <w:szCs w:val="14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F0"/>
    <w:rsid w:val="00007F77"/>
    <w:rsid w:val="0001730A"/>
    <w:rsid w:val="0001755B"/>
    <w:rsid w:val="000254AF"/>
    <w:rsid w:val="00043294"/>
    <w:rsid w:val="00045371"/>
    <w:rsid w:val="00057FF9"/>
    <w:rsid w:val="00062CE3"/>
    <w:rsid w:val="000745FA"/>
    <w:rsid w:val="00093390"/>
    <w:rsid w:val="000A5327"/>
    <w:rsid w:val="000A5BB3"/>
    <w:rsid w:val="000B37BC"/>
    <w:rsid w:val="000C1AAE"/>
    <w:rsid w:val="000D3903"/>
    <w:rsid w:val="000D65B4"/>
    <w:rsid w:val="000E4F4C"/>
    <w:rsid w:val="000E68D7"/>
    <w:rsid w:val="000F11BD"/>
    <w:rsid w:val="0014342D"/>
    <w:rsid w:val="00182E68"/>
    <w:rsid w:val="001869C9"/>
    <w:rsid w:val="001A40D3"/>
    <w:rsid w:val="001B1C4C"/>
    <w:rsid w:val="001B6867"/>
    <w:rsid w:val="001B7A26"/>
    <w:rsid w:val="001D7B08"/>
    <w:rsid w:val="001E7EA4"/>
    <w:rsid w:val="001F1CEA"/>
    <w:rsid w:val="001F65B7"/>
    <w:rsid w:val="001F7561"/>
    <w:rsid w:val="002009C1"/>
    <w:rsid w:val="00204E31"/>
    <w:rsid w:val="002142FB"/>
    <w:rsid w:val="00253D7B"/>
    <w:rsid w:val="00263D06"/>
    <w:rsid w:val="00263F57"/>
    <w:rsid w:val="00273CC0"/>
    <w:rsid w:val="0027759A"/>
    <w:rsid w:val="002A0AF8"/>
    <w:rsid w:val="002B7CF5"/>
    <w:rsid w:val="002D0CB5"/>
    <w:rsid w:val="002D57EC"/>
    <w:rsid w:val="002F7D29"/>
    <w:rsid w:val="00301FE9"/>
    <w:rsid w:val="00303372"/>
    <w:rsid w:val="00310B43"/>
    <w:rsid w:val="003127AC"/>
    <w:rsid w:val="0031672C"/>
    <w:rsid w:val="003251D4"/>
    <w:rsid w:val="00325234"/>
    <w:rsid w:val="00351FFF"/>
    <w:rsid w:val="003545C0"/>
    <w:rsid w:val="00361B8A"/>
    <w:rsid w:val="00365336"/>
    <w:rsid w:val="003714E7"/>
    <w:rsid w:val="00372132"/>
    <w:rsid w:val="0037443F"/>
    <w:rsid w:val="00377A03"/>
    <w:rsid w:val="00380807"/>
    <w:rsid w:val="003A4CE3"/>
    <w:rsid w:val="003D1ED0"/>
    <w:rsid w:val="003D334A"/>
    <w:rsid w:val="003D3CFA"/>
    <w:rsid w:val="003F34D8"/>
    <w:rsid w:val="0040546E"/>
    <w:rsid w:val="004104CB"/>
    <w:rsid w:val="00426D50"/>
    <w:rsid w:val="00433352"/>
    <w:rsid w:val="00475D4F"/>
    <w:rsid w:val="0048312D"/>
    <w:rsid w:val="0049072C"/>
    <w:rsid w:val="004C4460"/>
    <w:rsid w:val="004D623C"/>
    <w:rsid w:val="00530D58"/>
    <w:rsid w:val="005324C5"/>
    <w:rsid w:val="005447C7"/>
    <w:rsid w:val="00546BCA"/>
    <w:rsid w:val="00554D17"/>
    <w:rsid w:val="0055579F"/>
    <w:rsid w:val="00561A9A"/>
    <w:rsid w:val="005A7E60"/>
    <w:rsid w:val="005B1E22"/>
    <w:rsid w:val="005B2F01"/>
    <w:rsid w:val="005C6316"/>
    <w:rsid w:val="005D4FF3"/>
    <w:rsid w:val="00606703"/>
    <w:rsid w:val="00610514"/>
    <w:rsid w:val="00610E06"/>
    <w:rsid w:val="00617C32"/>
    <w:rsid w:val="00624DD5"/>
    <w:rsid w:val="0063012E"/>
    <w:rsid w:val="006357FF"/>
    <w:rsid w:val="00640217"/>
    <w:rsid w:val="0065116E"/>
    <w:rsid w:val="00687F76"/>
    <w:rsid w:val="006A1153"/>
    <w:rsid w:val="006C63C7"/>
    <w:rsid w:val="006F0FA7"/>
    <w:rsid w:val="006F3A73"/>
    <w:rsid w:val="0072090A"/>
    <w:rsid w:val="00721EC8"/>
    <w:rsid w:val="007239F7"/>
    <w:rsid w:val="00732394"/>
    <w:rsid w:val="00735439"/>
    <w:rsid w:val="0075503A"/>
    <w:rsid w:val="0076197E"/>
    <w:rsid w:val="0076374F"/>
    <w:rsid w:val="00766F71"/>
    <w:rsid w:val="0076717A"/>
    <w:rsid w:val="00770592"/>
    <w:rsid w:val="0077081B"/>
    <w:rsid w:val="00770A40"/>
    <w:rsid w:val="0077500F"/>
    <w:rsid w:val="007809DE"/>
    <w:rsid w:val="007A6D6C"/>
    <w:rsid w:val="007A77A5"/>
    <w:rsid w:val="007C3093"/>
    <w:rsid w:val="007D51C8"/>
    <w:rsid w:val="007D7C83"/>
    <w:rsid w:val="007F269A"/>
    <w:rsid w:val="008135F0"/>
    <w:rsid w:val="0081774A"/>
    <w:rsid w:val="00823607"/>
    <w:rsid w:val="0082478C"/>
    <w:rsid w:val="0083121C"/>
    <w:rsid w:val="00876973"/>
    <w:rsid w:val="008A5F94"/>
    <w:rsid w:val="008B257E"/>
    <w:rsid w:val="008E305E"/>
    <w:rsid w:val="008F1B0B"/>
    <w:rsid w:val="008F627D"/>
    <w:rsid w:val="0091009E"/>
    <w:rsid w:val="009158E0"/>
    <w:rsid w:val="0092661B"/>
    <w:rsid w:val="00935DAF"/>
    <w:rsid w:val="00950F72"/>
    <w:rsid w:val="0095419D"/>
    <w:rsid w:val="00962972"/>
    <w:rsid w:val="0096367C"/>
    <w:rsid w:val="00963910"/>
    <w:rsid w:val="0096438B"/>
    <w:rsid w:val="00973A31"/>
    <w:rsid w:val="00976969"/>
    <w:rsid w:val="009949E7"/>
    <w:rsid w:val="009C6030"/>
    <w:rsid w:val="009C6883"/>
    <w:rsid w:val="009D7BE1"/>
    <w:rsid w:val="009F3A6A"/>
    <w:rsid w:val="00A4206D"/>
    <w:rsid w:val="00A63627"/>
    <w:rsid w:val="00A718B7"/>
    <w:rsid w:val="00A87E29"/>
    <w:rsid w:val="00A91AEC"/>
    <w:rsid w:val="00A95DBA"/>
    <w:rsid w:val="00A96ED9"/>
    <w:rsid w:val="00AB0CF9"/>
    <w:rsid w:val="00AC1EBA"/>
    <w:rsid w:val="00AC7C16"/>
    <w:rsid w:val="00AE6209"/>
    <w:rsid w:val="00AF4EA0"/>
    <w:rsid w:val="00AF55BB"/>
    <w:rsid w:val="00B035FE"/>
    <w:rsid w:val="00B12177"/>
    <w:rsid w:val="00B1666A"/>
    <w:rsid w:val="00B24916"/>
    <w:rsid w:val="00B42EF4"/>
    <w:rsid w:val="00B519F9"/>
    <w:rsid w:val="00B77427"/>
    <w:rsid w:val="00BA1ABC"/>
    <w:rsid w:val="00BB6DE4"/>
    <w:rsid w:val="00BD1DFB"/>
    <w:rsid w:val="00BD3976"/>
    <w:rsid w:val="00BE306C"/>
    <w:rsid w:val="00C01B1E"/>
    <w:rsid w:val="00C03CD3"/>
    <w:rsid w:val="00C30C09"/>
    <w:rsid w:val="00C36DD8"/>
    <w:rsid w:val="00C543DA"/>
    <w:rsid w:val="00C65AEC"/>
    <w:rsid w:val="00C70DBD"/>
    <w:rsid w:val="00C9234C"/>
    <w:rsid w:val="00C92A9A"/>
    <w:rsid w:val="00C949B7"/>
    <w:rsid w:val="00C9513F"/>
    <w:rsid w:val="00CA0836"/>
    <w:rsid w:val="00CB423B"/>
    <w:rsid w:val="00CC2416"/>
    <w:rsid w:val="00CD7629"/>
    <w:rsid w:val="00CF6A45"/>
    <w:rsid w:val="00D06D01"/>
    <w:rsid w:val="00D218BE"/>
    <w:rsid w:val="00D21F7B"/>
    <w:rsid w:val="00D27987"/>
    <w:rsid w:val="00D36C96"/>
    <w:rsid w:val="00D421C4"/>
    <w:rsid w:val="00D61352"/>
    <w:rsid w:val="00D90206"/>
    <w:rsid w:val="00D9703D"/>
    <w:rsid w:val="00DA2806"/>
    <w:rsid w:val="00DA4E41"/>
    <w:rsid w:val="00DC2B32"/>
    <w:rsid w:val="00DD1C20"/>
    <w:rsid w:val="00DD4B0A"/>
    <w:rsid w:val="00DD54C6"/>
    <w:rsid w:val="00DD5F5A"/>
    <w:rsid w:val="00E1417F"/>
    <w:rsid w:val="00E4058B"/>
    <w:rsid w:val="00E407B7"/>
    <w:rsid w:val="00E47592"/>
    <w:rsid w:val="00E51475"/>
    <w:rsid w:val="00E542CA"/>
    <w:rsid w:val="00E83ECF"/>
    <w:rsid w:val="00E934B1"/>
    <w:rsid w:val="00EA4AEE"/>
    <w:rsid w:val="00EA7D94"/>
    <w:rsid w:val="00EB78C2"/>
    <w:rsid w:val="00EC6555"/>
    <w:rsid w:val="00ED4D6F"/>
    <w:rsid w:val="00EE1E53"/>
    <w:rsid w:val="00EE527C"/>
    <w:rsid w:val="00EF2F6D"/>
    <w:rsid w:val="00F00F59"/>
    <w:rsid w:val="00F168FC"/>
    <w:rsid w:val="00F174CE"/>
    <w:rsid w:val="00F22AE7"/>
    <w:rsid w:val="00F420DB"/>
    <w:rsid w:val="00F5053D"/>
    <w:rsid w:val="00F6514C"/>
    <w:rsid w:val="00F71D3B"/>
    <w:rsid w:val="00F74B68"/>
    <w:rsid w:val="00F768E4"/>
    <w:rsid w:val="00F957A5"/>
    <w:rsid w:val="00F95FDF"/>
    <w:rsid w:val="00FA4280"/>
    <w:rsid w:val="00FA603E"/>
    <w:rsid w:val="00FB3F65"/>
    <w:rsid w:val="00FB7315"/>
    <w:rsid w:val="00FC395A"/>
    <w:rsid w:val="00FC611B"/>
    <w:rsid w:val="00FE1820"/>
    <w:rsid w:val="00FE6496"/>
    <w:rsid w:val="00FF0587"/>
    <w:rsid w:val="00FF57BA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03D"/>
  </w:style>
  <w:style w:type="paragraph" w:styleId="a7">
    <w:name w:val="footer"/>
    <w:basedOn w:val="a"/>
    <w:link w:val="a8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03D"/>
  </w:style>
  <w:style w:type="paragraph" w:styleId="a9">
    <w:name w:val="annotation text"/>
    <w:basedOn w:val="a"/>
    <w:link w:val="aa"/>
    <w:uiPriority w:val="99"/>
    <w:unhideWhenUsed/>
    <w:rsid w:val="009949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949E7"/>
    <w:rPr>
      <w:rFonts w:cs="Calibri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EA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135F0"/>
    <w:pPr>
      <w:widowControl w:val="0"/>
      <w:autoSpaceDE w:val="0"/>
      <w:autoSpaceDN w:val="0"/>
    </w:pPr>
    <w:rPr>
      <w:rFonts w:eastAsia="Times New Roman" w:cs="Calibri"/>
    </w:rPr>
  </w:style>
  <w:style w:type="paragraph" w:styleId="a3">
    <w:name w:val="Balloon Text"/>
    <w:basedOn w:val="a"/>
    <w:link w:val="a4"/>
    <w:uiPriority w:val="99"/>
    <w:semiHidden/>
    <w:rsid w:val="008F6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F627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9703D"/>
  </w:style>
  <w:style w:type="paragraph" w:styleId="a7">
    <w:name w:val="footer"/>
    <w:basedOn w:val="a"/>
    <w:link w:val="a8"/>
    <w:uiPriority w:val="99"/>
    <w:rsid w:val="00D97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D9703D"/>
  </w:style>
  <w:style w:type="paragraph" w:styleId="a9">
    <w:name w:val="annotation text"/>
    <w:basedOn w:val="a"/>
    <w:link w:val="aa"/>
    <w:uiPriority w:val="99"/>
    <w:unhideWhenUsed/>
    <w:rsid w:val="009949E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9949E7"/>
    <w:rPr>
      <w:rFonts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A7C3D8-52D8-492C-BBD1-8C319613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2988</Words>
  <Characters>18631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home</Company>
  <LinksUpToDate>false</LinksUpToDate>
  <CharactersWithSpaces>21576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Alex</dc:creator>
  <cp:lastModifiedBy>uservv</cp:lastModifiedBy>
  <cp:revision>3</cp:revision>
  <cp:lastPrinted>2020-05-21T10:56:00Z</cp:lastPrinted>
  <dcterms:created xsi:type="dcterms:W3CDTF">2020-05-21T10:28:00Z</dcterms:created>
  <dcterms:modified xsi:type="dcterms:W3CDTF">2020-05-21T10:56:00Z</dcterms:modified>
</cp:coreProperties>
</file>