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04" w:rsidRDefault="004A1104" w:rsidP="00461543">
      <w:pPr>
        <w:jc w:val="center"/>
      </w:pPr>
    </w:p>
    <w:p w:rsidR="00461543" w:rsidRDefault="00461543" w:rsidP="00461543">
      <w:pPr>
        <w:tabs>
          <w:tab w:val="left" w:pos="7260"/>
        </w:tabs>
      </w:pPr>
      <w:r>
        <w:tab/>
      </w:r>
    </w:p>
    <w:p w:rsidR="00461543" w:rsidRDefault="00461543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461543" w:rsidRDefault="00461543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461543" w:rsidP="00461543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</w:p>
    <w:p w:rsidR="00461543" w:rsidRDefault="00461543" w:rsidP="00461543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МУНИЦИПАЛЬНОЙ ПРОГРАМЫ</w:t>
      </w:r>
    </w:p>
    <w:p w:rsidR="007D00BE" w:rsidRDefault="00461543" w:rsidP="00461543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6154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ФОРМИРОВАНИЕ СОВРЕМЕННОЙ ГОРОДСКОЙ СРЕДЫ НА ТЕРРИТОРИИ МУНИЦИПАЛЬНОГО ОБРАЗОВАНИЯ </w:t>
      </w:r>
      <w:r w:rsidR="007D00BE">
        <w:rPr>
          <w:rFonts w:ascii="Times New Roman" w:hAnsi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/>
          <w:b/>
          <w:sz w:val="32"/>
          <w:szCs w:val="32"/>
        </w:rPr>
        <w:t>ГОРОД  АСТРАХАНЬ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  <w:r w:rsidRPr="00461543">
        <w:rPr>
          <w:rFonts w:ascii="Times New Roman" w:hAnsi="Times New Roman"/>
          <w:b/>
          <w:sz w:val="32"/>
          <w:szCs w:val="32"/>
        </w:rPr>
        <w:t xml:space="preserve"> </w:t>
      </w:r>
    </w:p>
    <w:p w:rsidR="00461543" w:rsidRPr="00461543" w:rsidRDefault="00461543" w:rsidP="00461543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61543">
        <w:rPr>
          <w:rFonts w:ascii="Times New Roman" w:hAnsi="Times New Roman"/>
          <w:b/>
          <w:sz w:val="32"/>
          <w:szCs w:val="32"/>
        </w:rPr>
        <w:t>на 2018-2022 годы</w:t>
      </w:r>
    </w:p>
    <w:p w:rsidR="00461543" w:rsidRDefault="00461543" w:rsidP="00461543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461543" w:rsidRDefault="00461543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Pr="00E97177" w:rsidRDefault="007D00BE" w:rsidP="007D00B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7177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7177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Астрахань» на 2018-2022 годы</w:t>
      </w:r>
    </w:p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7D00BE">
      <w:pPr>
        <w:spacing w:after="0" w:line="10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6705C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D00BE" w:rsidRDefault="007D00BE" w:rsidP="007D00BE">
      <w:pPr>
        <w:spacing w:after="0" w:line="10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муниципального образования «Город Астрахань» на 2018-202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(далее-Программа)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муниципальных программ муниципального образования «Город Астрахань» утвержденный распоряжением администрации муниципального образования «Город Астрахань» от 27.05.2015 № 607-р «Об утверждении Перечня муниципальных программ муниципального образования «Город Астрахань»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изменениями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внесенными распоряжением администрации муниципального образования «Город Астрахань» от 21.03.2016 № 193-р,от 21.10.2016 № 1534-р 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Управление по коммунальному хозяйству и благоустройству администрации муниципального образования «город Астрахань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(участник)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7D00BE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  ведомственные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целевые программы, входящие в состав муниципальной программы)</w:t>
            </w:r>
          </w:p>
        </w:tc>
        <w:tc>
          <w:tcPr>
            <w:tcW w:w="5812" w:type="dxa"/>
            <w:shd w:val="clear" w:color="auto" w:fill="auto"/>
          </w:tcPr>
          <w:p w:rsidR="007D00BE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комфорта городской среды на т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 xml:space="preserve">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Астрахань»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дворовых территорий муниципального образования «Город Астрахань»;</w:t>
            </w:r>
          </w:p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 xml:space="preserve">-повышение уровня благоустройства территорий общественного пользования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«Город Астрахань»;</w:t>
            </w:r>
          </w:p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 xml:space="preserve">-создание универсальных механизмов вовлечения заинтересованных граждан, организаций в реализацию мероприятий по благоустройству территории </w:t>
            </w:r>
            <w:proofErr w:type="gramStart"/>
            <w:r w:rsidRPr="00A111FC"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 w:rsidRPr="00A111FC">
              <w:rPr>
                <w:rFonts w:ascii="Times New Roman" w:hAnsi="Times New Roman"/>
                <w:sz w:val="28"/>
                <w:szCs w:val="28"/>
              </w:rPr>
              <w:t xml:space="preserve"> «Город Астрахань»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доля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благоустроенных дворовых территорий муниципального образования «Город Астрахань»;</w:t>
            </w:r>
          </w:p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доля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благоустроенных территорий общего пользования муниципального образования «Город Астрахань»;</w:t>
            </w:r>
          </w:p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158">
              <w:rPr>
                <w:rFonts w:ascii="Times New Roman" w:hAnsi="Times New Roman"/>
                <w:sz w:val="28"/>
                <w:szCs w:val="28"/>
              </w:rPr>
              <w:t xml:space="preserve">- доля трудового участия заинтересованных лиц в выполнении дополнительного </w:t>
            </w:r>
            <w:proofErr w:type="gramStart"/>
            <w:r w:rsidRPr="00CF7158">
              <w:rPr>
                <w:rFonts w:ascii="Times New Roman" w:hAnsi="Times New Roman"/>
                <w:sz w:val="28"/>
                <w:szCs w:val="28"/>
              </w:rPr>
              <w:t>перечня  работ</w:t>
            </w:r>
            <w:proofErr w:type="gramEnd"/>
            <w:r w:rsidRPr="00CF7158">
              <w:rPr>
                <w:rFonts w:ascii="Times New Roman" w:hAnsi="Times New Roman"/>
                <w:sz w:val="28"/>
                <w:szCs w:val="28"/>
              </w:rPr>
              <w:t xml:space="preserve"> по благоустройству дворовых территорий муниципального образования «Город Астрахань;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этапы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и источники финансирования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составит: за счет всех источников финансирования -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2021-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2022-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за счет средств бюджета Астраханской области – 0,0 рублей, из них по годам: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2018 - 0,0 рублей;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2019 - 0,0 рублей;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2020 - 0,0 рублей;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2021 – 0,0 рублей;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2022 – 0,0 рублей.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муниципального образования «Город Астрахань» -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</w:p>
          <w:p w:rsidR="007D00BE" w:rsidRPr="00CF7158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t>2021-</w:t>
            </w:r>
          </w:p>
          <w:p w:rsidR="007D00BE" w:rsidRPr="00A111FC" w:rsidRDefault="007D00BE" w:rsidP="00022F7D">
            <w:pPr>
              <w:tabs>
                <w:tab w:val="right" w:pos="559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58">
              <w:rPr>
                <w:rFonts w:ascii="Times New Roman" w:hAnsi="Times New Roman"/>
                <w:sz w:val="28"/>
                <w:szCs w:val="28"/>
              </w:rPr>
              <w:lastRenderedPageBreak/>
              <w:t>2022-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конечные результаты 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За период реализации муниципальной программы планируется достижение следующих результатов:</w:t>
            </w:r>
          </w:p>
          <w:p w:rsidR="007D00BE" w:rsidRPr="000F1DC0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31D">
              <w:rPr>
                <w:rFonts w:ascii="Times New Roman" w:hAnsi="Times New Roman"/>
                <w:sz w:val="28"/>
                <w:szCs w:val="28"/>
              </w:rPr>
              <w:t xml:space="preserve">- увеличить долю благоустроенных дворовых территорий многоквартирных домов </w:t>
            </w:r>
            <w:r w:rsidRPr="000F1DC0">
              <w:rPr>
                <w:rFonts w:ascii="Times New Roman" w:hAnsi="Times New Roman"/>
                <w:sz w:val="28"/>
                <w:szCs w:val="28"/>
              </w:rPr>
              <w:t>от общего числа дворовых территорий до 75%;</w:t>
            </w:r>
          </w:p>
          <w:p w:rsidR="007D00BE" w:rsidRPr="000F1DC0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C0">
              <w:rPr>
                <w:rFonts w:ascii="Times New Roman" w:hAnsi="Times New Roman"/>
                <w:sz w:val="28"/>
                <w:szCs w:val="28"/>
              </w:rPr>
              <w:t xml:space="preserve"> -увеличить долю благоустройства территорий общего пользования муниципального образования «Город Астрахань» до ____ %</w:t>
            </w:r>
          </w:p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C0">
              <w:rPr>
                <w:rFonts w:ascii="Times New Roman" w:hAnsi="Times New Roman"/>
                <w:sz w:val="28"/>
                <w:szCs w:val="28"/>
              </w:rPr>
              <w:t xml:space="preserve"> - увеличение доли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«Город Астрахань» на _____%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A111FC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FC">
              <w:rPr>
                <w:rFonts w:ascii="Times New Roman" w:hAnsi="Times New Roman"/>
                <w:sz w:val="28"/>
                <w:szCs w:val="28"/>
              </w:rPr>
              <w:t>Контроль за исполнением муниципальной программы осуществляет управление по коммунальному хозяйству и благоустройству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муниципального образования «Г</w:t>
            </w:r>
            <w:r w:rsidRPr="00A111FC">
              <w:rPr>
                <w:rFonts w:ascii="Times New Roman" w:hAnsi="Times New Roman"/>
                <w:sz w:val="28"/>
                <w:szCs w:val="28"/>
              </w:rPr>
              <w:t>ород Астрахань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7D00BE">
      <w:pPr>
        <w:pStyle w:val="a3"/>
        <w:numPr>
          <w:ilvl w:val="0"/>
          <w:numId w:val="1"/>
        </w:numPr>
        <w:suppressAutoHyphens w:val="0"/>
        <w:spacing w:after="0" w:line="240" w:lineRule="atLeast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8E1C1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проблемы в рассматриваемой сфере и</w:t>
      </w:r>
    </w:p>
    <w:p w:rsidR="007D00BE" w:rsidRPr="008E1C10" w:rsidRDefault="007D00BE" w:rsidP="007D00BE">
      <w:pPr>
        <w:pStyle w:val="a3"/>
        <w:suppressAutoHyphens w:val="0"/>
        <w:spacing w:after="0" w:line="240" w:lineRule="atLeast"/>
        <w:ind w:left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прогноз её развития с учетом реализации </w:t>
      </w:r>
      <w:r w:rsidRPr="008E1C1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муниципальной программы</w:t>
      </w:r>
    </w:p>
    <w:p w:rsidR="007D00BE" w:rsidRPr="000F4583" w:rsidRDefault="007D00BE" w:rsidP="007D00BE">
      <w:pPr>
        <w:suppressAutoHyphens w:val="0"/>
        <w:spacing w:after="0" w:line="240" w:lineRule="atLeast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город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е Астрахань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располагаются  5198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мног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оквартирных домов и порядка 80 </w:t>
      </w: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общественных территорий. В большей части дворовых и общественных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</w:t>
      </w: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Содержание жилищного фонда города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Для приведения дворовых и общественных территорий к современным нормам комфортности выявлена необходимость реализации программы, где предусматриваются мероприятия, </w:t>
      </w: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направленные на комплексное благоустройство дворовых и общественных территорий.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района,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квартала, микрорайона.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Неухоженн</w:t>
      </w: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ость</w:t>
      </w:r>
      <w:proofErr w:type="spellEnd"/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парков и скверов, отсутствие детских и спортивно-игровых площадок и зон отдыха во дворах, нехватка парковочных мест, устаревшие малые архитектурные формы -все это негативно влияет на качество жизни </w:t>
      </w:r>
      <w:proofErr w:type="gramStart"/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населения  города</w:t>
      </w:r>
      <w:proofErr w:type="gramEnd"/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Астрахани.</w:t>
      </w: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набережных, скверах, на площадях и т.д.). В настоящее время назрела необходимость системного решения проблемы благоустройства и озеленения муниципального образования. 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 </w:t>
      </w:r>
    </w:p>
    <w:p w:rsidR="007D00BE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Pr="00D96C03" w:rsidRDefault="007D00BE" w:rsidP="007D00BE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  <w:r w:rsidRPr="00D96C03">
        <w:rPr>
          <w:rFonts w:ascii="Times New Roman" w:hAnsi="Times New Roman"/>
          <w:kern w:val="0"/>
          <w:sz w:val="28"/>
          <w:szCs w:val="28"/>
          <w:lang w:eastAsia="en-US"/>
        </w:rPr>
        <w:t>Основные показатели благоустройства дворовых территорий</w:t>
      </w:r>
    </w:p>
    <w:p w:rsidR="007D00BE" w:rsidRPr="00D96C03" w:rsidRDefault="007D00BE" w:rsidP="007D00BE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236"/>
        <w:gridCol w:w="1854"/>
        <w:gridCol w:w="1871"/>
        <w:gridCol w:w="1855"/>
      </w:tblGrid>
      <w:tr w:rsidR="007D00BE" w:rsidRPr="00D96C03" w:rsidTr="00022F7D"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2015год</w:t>
            </w: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2016 год</w:t>
            </w:r>
          </w:p>
        </w:tc>
      </w:tr>
      <w:tr w:rsidR="007D00BE" w:rsidRPr="00D96C03" w:rsidTr="00022F7D">
        <w:trPr>
          <w:trHeight w:val="1082"/>
        </w:trPr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Количество многоквартирных домов на территории муниципального образования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Общая площадь дворовых </w:t>
            </w:r>
          </w:p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территорий, </w:t>
            </w:r>
            <w:proofErr w:type="spell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кв.м</w:t>
            </w:r>
            <w:proofErr w:type="spellEnd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Количество благоустроенных </w:t>
            </w:r>
          </w:p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дворовых (придомовых территорий) 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Площадь благоустроенных дворовых территорий нарастающим итогом, </w:t>
            </w:r>
            <w:proofErr w:type="spell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кв.м</w:t>
            </w:r>
            <w:proofErr w:type="spellEnd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Доля благоустроенных территорий в общей площади дворовых территорий, %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Площадь дворовых территорий в отношении которых требуются мероприятия по благоустройству</w:t>
            </w:r>
          </w:p>
        </w:tc>
        <w:tc>
          <w:tcPr>
            <w:tcW w:w="1876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D00BE" w:rsidRPr="00D96C03" w:rsidRDefault="007D00BE" w:rsidP="007D00BE">
      <w:pPr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7D00BE" w:rsidRPr="00D96C03" w:rsidRDefault="007D00BE" w:rsidP="007D00BE">
      <w:pPr>
        <w:suppressAutoHyphens w:val="0"/>
        <w:spacing w:after="0" w:line="240" w:lineRule="auto"/>
        <w:jc w:val="center"/>
        <w:rPr>
          <w:kern w:val="0"/>
          <w:lang w:eastAsia="en-US"/>
        </w:rPr>
      </w:pPr>
    </w:p>
    <w:p w:rsidR="007D00BE" w:rsidRDefault="007D00BE" w:rsidP="007D00B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Основные показатели благоустройства общественных территорий</w:t>
      </w:r>
    </w:p>
    <w:p w:rsidR="007D00BE" w:rsidRPr="00D96C03" w:rsidRDefault="007D00BE" w:rsidP="007D00B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144"/>
        <w:gridCol w:w="1517"/>
        <w:gridCol w:w="1669"/>
        <w:gridCol w:w="1485"/>
      </w:tblGrid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2015год</w:t>
            </w: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2016 год</w:t>
            </w: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Общее количество территорий общего пользования в муниципальном образовании (парки, скверы, набережные и т.д.), ед.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Количество благоустроенных территорий общего пользования в муниципальном образовании (парки, скверы, </w:t>
            </w:r>
            <w:proofErr w:type="gram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набережные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</w:t>
            </w:r>
            <w:proofErr w:type="gramEnd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т.д.), ед.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Количество территорий общего пользования в муниципальном образовании (парки, скверы, набережные и т.д.), нуждающихся в благоустройстве, ед.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Общая площадь территорий общего пользования в муниципальном образовании (парки, скверы, набережные и </w:t>
            </w:r>
            <w:proofErr w:type="gram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т.д. )</w:t>
            </w:r>
            <w:proofErr w:type="gramEnd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Площадь благоустроенных территорий общего пользования в муниципальном образовании (парки, скверы, набережные и </w:t>
            </w:r>
            <w:proofErr w:type="gram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т.д. )</w:t>
            </w:r>
            <w:proofErr w:type="gramEnd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Доля благоустроенных муниципальных территорий общего </w:t>
            </w: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пользования от общего количества таких территорий, %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7D00BE" w:rsidRPr="00D96C03" w:rsidTr="00022F7D">
        <w:tc>
          <w:tcPr>
            <w:tcW w:w="534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96C0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Доля муниципальных территорий общего пользования, нуждающихся в благоустройстве от общего количества таких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96C0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территорий, %</w:t>
            </w:r>
          </w:p>
        </w:tc>
        <w:tc>
          <w:tcPr>
            <w:tcW w:w="1559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7D00BE" w:rsidRPr="00D96C03" w:rsidRDefault="007D00BE" w:rsidP="00022F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D00BE" w:rsidRPr="00D96C03" w:rsidRDefault="007D00BE" w:rsidP="007D00BE">
      <w:pPr>
        <w:suppressAutoHyphens w:val="0"/>
        <w:spacing w:after="0" w:line="240" w:lineRule="auto"/>
        <w:jc w:val="center"/>
        <w:rPr>
          <w:kern w:val="0"/>
          <w:lang w:eastAsia="en-US"/>
        </w:rPr>
      </w:pP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результатам проведенной инвентаризации дворовых территорий выявлены следующие ключевые проблемы благоустройства:</w:t>
      </w:r>
    </w:p>
    <w:p w:rsidR="007D00BE" w:rsidRPr="00D96C03" w:rsidRDefault="007D00BE" w:rsidP="007D00B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-аварийное состояние или полное отсутствие асфальтобетонного покрытия территорий (многочисленные выбоины, отсутствие твердого покрытия);</w:t>
      </w:r>
    </w:p>
    <w:p w:rsidR="007D00BE" w:rsidRPr="00D96C03" w:rsidRDefault="007D00BE" w:rsidP="007D00B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-не обустроенные места для сбора твердых коммунальных отходов (контейнерные площадки, урны для сбора мусора);</w:t>
      </w:r>
    </w:p>
    <w:p w:rsidR="007D00BE" w:rsidRPr="00D96C03" w:rsidRDefault="007D00BE" w:rsidP="007D00B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-неудовлетворительно состояние детских площадок и зон отдыха;</w:t>
      </w:r>
    </w:p>
    <w:p w:rsidR="007D00BE" w:rsidRPr="00D96C03" w:rsidRDefault="007D00BE" w:rsidP="007D00B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-недостаточное количество скамеек. </w:t>
      </w:r>
    </w:p>
    <w:p w:rsidR="007D00BE" w:rsidRPr="00D96C03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96C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 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7D00BE" w:rsidRPr="007D2788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7D00BE" w:rsidRPr="007D2788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3</w:t>
      </w:r>
      <w:r w:rsidRPr="007D278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Цели, задачи, целевые </w:t>
      </w:r>
      <w:proofErr w:type="gramStart"/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индикаторы  и</w:t>
      </w:r>
      <w:proofErr w:type="gramEnd"/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показатели муниципальной программы, перечень подпрограмм</w:t>
      </w:r>
    </w:p>
    <w:p w:rsidR="007D00BE" w:rsidRPr="007D2788" w:rsidRDefault="007D00BE" w:rsidP="007D00BE">
      <w:pPr>
        <w:suppressAutoHyphens w:val="0"/>
        <w:spacing w:after="0" w:line="240" w:lineRule="atLeast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7D00BE" w:rsidRPr="00760DA9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>Основной целью программы является повышение качества и комфорта городской среды на территории муниципального образования «Город Астрахань».</w:t>
      </w:r>
    </w:p>
    <w:p w:rsidR="007D00BE" w:rsidRPr="00760DA9" w:rsidRDefault="007D00BE" w:rsidP="007D00B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>Для достижения данной цели необходимо решить ряд задач:</w:t>
      </w:r>
    </w:p>
    <w:p w:rsidR="007D00BE" w:rsidRPr="00760DA9" w:rsidRDefault="007D00BE" w:rsidP="007D00B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 xml:space="preserve"> - повышение уровня благоустройства дворовых </w:t>
      </w:r>
      <w:proofErr w:type="gramStart"/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>территорий  муниципального</w:t>
      </w:r>
      <w:proofErr w:type="gramEnd"/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 xml:space="preserve"> образования «Город Астрахань»;</w:t>
      </w:r>
    </w:p>
    <w:p w:rsidR="007D00BE" w:rsidRPr="00760DA9" w:rsidRDefault="007D00BE" w:rsidP="007D00B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 xml:space="preserve"> - обеспечение создания и развития объектов благоустройства на территории муниципального образования «Город Астрахань», включая объекты, находящиеся в частной собственности и прилегающие к ним территории;</w:t>
      </w:r>
    </w:p>
    <w:p w:rsidR="007D00BE" w:rsidRPr="00760DA9" w:rsidRDefault="007D00BE" w:rsidP="007D00B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kern w:val="0"/>
          <w:sz w:val="28"/>
          <w:szCs w:val="28"/>
          <w:lang w:eastAsia="en-US"/>
        </w:rPr>
        <w:t xml:space="preserve"> - создание универсальных механизмов вовлечения заинтересованных граждан, организаций в реализацию мероприятий по благоустройству территории муниципального образования «город Астрахань».</w:t>
      </w:r>
    </w:p>
    <w:p w:rsidR="007D00BE" w:rsidRPr="00760DA9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760DA9">
        <w:rPr>
          <w:rFonts w:ascii="Times New Roman" w:hAnsi="Times New Roman"/>
          <w:kern w:val="0"/>
          <w:sz w:val="28"/>
          <w:szCs w:val="28"/>
          <w:lang w:eastAsia="ru-RU"/>
        </w:rPr>
        <w:t>Целевыми индикаторами Программы являются:</w:t>
      </w:r>
    </w:p>
    <w:p w:rsidR="007D00BE" w:rsidRPr="00760DA9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760DA9">
        <w:rPr>
          <w:rFonts w:ascii="Times New Roman" w:hAnsi="Times New Roman"/>
          <w:kern w:val="0"/>
          <w:sz w:val="28"/>
          <w:szCs w:val="28"/>
          <w:lang w:eastAsia="ru-RU"/>
        </w:rPr>
        <w:t>Достижение запланированных результатов муниципальной программы характеризуется следующими целевыми показателями:</w:t>
      </w:r>
    </w:p>
    <w:p w:rsidR="007D00BE" w:rsidRPr="00760DA9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7D00BE" w:rsidRPr="00760DA9" w:rsidRDefault="007D00BE" w:rsidP="007D00BE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b/>
          <w:kern w:val="0"/>
          <w:sz w:val="28"/>
          <w:szCs w:val="28"/>
          <w:lang w:eastAsia="en-US"/>
        </w:rPr>
        <w:t>Задача 1. Повышение уровня благоустройства дворовых территорий муниципального образования «Город Астрахань»</w:t>
      </w:r>
    </w:p>
    <w:p w:rsidR="007D00BE" w:rsidRPr="000F1DC0" w:rsidRDefault="007D00BE" w:rsidP="007D00BE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</w:pPr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lastRenderedPageBreak/>
        <w:t>доля благоустроенных дворовых территорий, от общего количества таких территорий %:</w:t>
      </w:r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 xml:space="preserve"> 2018 – ;2019 - ;2020 </w:t>
      </w:r>
      <w:proofErr w:type="gramStart"/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>- ;</w:t>
      </w:r>
      <w:proofErr w:type="gramEnd"/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 xml:space="preserve"> 2021 - ; 2022 - </w:t>
      </w:r>
    </w:p>
    <w:p w:rsidR="007D00BE" w:rsidRPr="00760DA9" w:rsidRDefault="007D00BE" w:rsidP="007D00BE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</w:p>
    <w:p w:rsidR="007D00BE" w:rsidRPr="00760DA9" w:rsidRDefault="007D00BE" w:rsidP="007D00BE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760DA9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Задача 2. Повышение уровня </w:t>
      </w:r>
      <w:proofErr w:type="gramStart"/>
      <w:r w:rsidRPr="00760DA9">
        <w:rPr>
          <w:rFonts w:ascii="Times New Roman" w:hAnsi="Times New Roman"/>
          <w:b/>
          <w:kern w:val="0"/>
          <w:sz w:val="28"/>
          <w:szCs w:val="28"/>
          <w:lang w:eastAsia="en-US"/>
        </w:rPr>
        <w:t>бла</w:t>
      </w:r>
      <w:r>
        <w:rPr>
          <w:rFonts w:ascii="Times New Roman" w:hAnsi="Times New Roman"/>
          <w:b/>
          <w:kern w:val="0"/>
          <w:sz w:val="28"/>
          <w:szCs w:val="28"/>
          <w:lang w:eastAsia="en-US"/>
        </w:rPr>
        <w:t>гоустройства  территорий</w:t>
      </w:r>
      <w:proofErr w:type="gramEnd"/>
      <w:r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общественного</w:t>
      </w:r>
      <w:r w:rsidRPr="00760DA9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пользования муниципального образования «Город Астрахань»</w:t>
      </w:r>
    </w:p>
    <w:p w:rsidR="007D00BE" w:rsidRPr="000F1DC0" w:rsidRDefault="007D00BE" w:rsidP="007D00BE">
      <w:pPr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t xml:space="preserve">доля благоустроенных территорий </w:t>
      </w:r>
      <w:proofErr w:type="gramStart"/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t>общественного  пользования</w:t>
      </w:r>
      <w:proofErr w:type="gramEnd"/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t xml:space="preserve"> от общего количества таких территорий, %:</w:t>
      </w:r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 xml:space="preserve"> 2018 – ;2019 - ;2020 - ; 2021 - ; 2022 –</w:t>
      </w:r>
    </w:p>
    <w:p w:rsidR="007D00BE" w:rsidRPr="000F1DC0" w:rsidRDefault="007D00BE" w:rsidP="007D00BE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</w:pPr>
    </w:p>
    <w:p w:rsidR="007D00BE" w:rsidRDefault="007D00BE" w:rsidP="007D00BE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216E65">
        <w:rPr>
          <w:rFonts w:ascii="Times New Roman" w:hAnsi="Times New Roman"/>
          <w:b/>
          <w:kern w:val="0"/>
          <w:sz w:val="28"/>
          <w:szCs w:val="28"/>
          <w:lang w:eastAsia="en-US"/>
        </w:rPr>
        <w:t>Задача 3.</w:t>
      </w:r>
      <w:r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Создание универсальных механизмов вовлечения</w:t>
      </w:r>
    </w:p>
    <w:p w:rsidR="007D00BE" w:rsidRDefault="007D00BE" w:rsidP="007D00BE">
      <w:pPr>
        <w:suppressAutoHyphens w:val="0"/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/>
          <w:kern w:val="0"/>
          <w:sz w:val="28"/>
          <w:szCs w:val="28"/>
          <w:lang w:eastAsia="en-US"/>
        </w:rPr>
        <w:t>заинтересованных граждан, организаций в реализацию мероприятий по благоустройству территории муниципального образования «Город Астрахань»</w:t>
      </w:r>
    </w:p>
    <w:p w:rsidR="000F1DC0" w:rsidRDefault="000F1DC0" w:rsidP="007D00BE">
      <w:pPr>
        <w:suppressAutoHyphens w:val="0"/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7D00BE" w:rsidRPr="000F1DC0" w:rsidRDefault="007D00BE" w:rsidP="007D00BE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t xml:space="preserve">доля вовлеченных заинтересованных граждан, организаций в реализацию мероприятий по благоустройству территорий </w:t>
      </w:r>
      <w:proofErr w:type="spellStart"/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t>мунципального</w:t>
      </w:r>
      <w:proofErr w:type="spellEnd"/>
      <w:r w:rsidRPr="000F1DC0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  <w:t xml:space="preserve"> образования «Город Астрахань», %</w:t>
      </w:r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 xml:space="preserve">: 2018 – ;2019 - ;2020 </w:t>
      </w:r>
      <w:proofErr w:type="gramStart"/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>- ;</w:t>
      </w:r>
      <w:proofErr w:type="gramEnd"/>
      <w:r w:rsidRPr="000F1DC0">
        <w:rPr>
          <w:rFonts w:ascii="Times New Roman" w:hAnsi="Times New Roman"/>
          <w:color w:val="000000" w:themeColor="text1"/>
          <w:kern w:val="0"/>
          <w:sz w:val="28"/>
          <w:szCs w:val="28"/>
          <w:lang w:eastAsia="en-US"/>
        </w:rPr>
        <w:t xml:space="preserve"> 2021 - ; 2022 –</w:t>
      </w:r>
    </w:p>
    <w:p w:rsidR="007D00BE" w:rsidRPr="00760DA9" w:rsidRDefault="007D00BE" w:rsidP="007D00B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760DA9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Полный перечень показателей (индикаторов) Программы и их значений приведен в </w:t>
      </w:r>
      <w:hyperlink r:id="rId5" w:history="1">
        <w:r w:rsidRPr="00760DA9">
          <w:rPr>
            <w:rFonts w:ascii="Times New Roman" w:hAnsi="Times New Roman"/>
            <w:bCs/>
            <w:color w:val="0000FF"/>
            <w:kern w:val="0"/>
            <w:sz w:val="28"/>
            <w:szCs w:val="28"/>
            <w:lang w:eastAsia="ru-RU"/>
          </w:rPr>
          <w:t>приложении 1</w:t>
        </w:r>
      </w:hyperlink>
      <w:r w:rsidRPr="00760DA9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к настоящей Программе.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numPr>
          <w:ilvl w:val="0"/>
          <w:numId w:val="5"/>
        </w:num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463A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Сроки (этапы) реализации муниципальной программы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spacing w:after="0" w:line="240" w:lineRule="atLeast"/>
        <w:ind w:left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 должна быть реализована в течение 2018- 2022 года.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numPr>
          <w:ilvl w:val="0"/>
          <w:numId w:val="5"/>
        </w:num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программных</w:t>
      </w:r>
      <w:proofErr w:type="gramEnd"/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мероприятий,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входящих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в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муниципальную 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C738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программу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Полный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перечень  мероприятий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муниципальной программы представлен в приложении 1 к настоящей муниципальной программе.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7D00BE" w:rsidRPr="00CD31DC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CD31D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К участию в мероприятиях по благоустройству дворовых территорий в 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городе Астрахани</w:t>
      </w:r>
      <w:r w:rsidRPr="00CD31D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привлекаются студенческие отряды, добровольцы, волонтеры и граждане на безвозмездной основе. Мероприятия организуются ежегодно, как правило, в весенне-осенний период в виде субботников. </w:t>
      </w:r>
    </w:p>
    <w:p w:rsidR="007D00BE" w:rsidRPr="00CD31DC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CD31D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Выполняются отдельные виды работ по благоустройству территорий общего пол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ьзования</w:t>
      </w:r>
      <w:r w:rsidRPr="00CD31D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, в том числе озеленение, уборка случайного мусора, приведение в порядок рабочего инвентаря, облагораживания территорий, покраска бордюров и т.д.</w:t>
      </w:r>
    </w:p>
    <w:p w:rsidR="007D00BE" w:rsidRPr="00CD31DC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CD31D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 целях улучшения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эстетического облика города Астрахани</w:t>
      </w:r>
      <w:r w:rsidRPr="00CD31D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, повышения качества жизни Астраханцев необходимо реализовать комплекс взаимосвязанных мероприятий, направленных на благоустройство муниципальных территорий общего пользования, дворовых территорий многоквартирных домов, а также других мероприятий, реализуемых в данной сфере.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lastRenderedPageBreak/>
        <w:t>Муниципальной программой предусматривается целенаправленная работа, исходя из: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1. М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инимального перечня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видов 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по благоустройству дворовых территорий: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а) </w:t>
      </w:r>
      <w:proofErr w:type="gramStart"/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устройство 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дворовых проездов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(включая оснащение пандусами съездов с тротуаров и (или) из подъездов многоквартирных домов для маломобильных групп населения)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;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б) обеспечение освещения дворовых территорий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(приоритетным является применение энергосберегающих технологий)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;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в) установка скамеек;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г) установка урн;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2. Д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ополнительного </w:t>
      </w:r>
      <w:proofErr w:type="gramStart"/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перечня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видов</w:t>
      </w:r>
      <w:proofErr w:type="gram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по благоустройству дворовых территорий многоквартирных домов: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а) 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оборудование детски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х и (или) спортивных площадок, автомобильных парковок (включая оснащение пандусами и местами для маломобильных групп населений);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б) озеленение территорий (с высадкой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шумо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-пылезащитных видов зеленых насаждений, а также необходимую опиловку-омоложение)</w:t>
      </w:r>
      <w:proofErr w:type="gram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; 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;</w:t>
      </w:r>
      <w:proofErr w:type="gramEnd"/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в) обустройство ограждений (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леерное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и (или) пешеходное ограждение, столбики с подсветкой);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г) обеспечение дополнительного освещения прилегающих </w:t>
      </w:r>
      <w:proofErr w:type="gram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территорий  (</w:t>
      </w:r>
      <w:proofErr w:type="gram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приоритетным является применение энергосберегающих технологий, датчиков движений);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д) обустройство необходимых элементов для полива зеленых насаждений;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е) обустройство наружного покрытия </w:t>
      </w:r>
      <w:proofErr w:type="gram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дворового  пространства</w:t>
      </w:r>
      <w:proofErr w:type="gram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(обустройство дорожек, покрытия детских и спортивных площадок);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ж) оборудование мест для </w:t>
      </w:r>
      <w:proofErr w:type="gram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выгула  и</w:t>
      </w:r>
      <w:proofErr w:type="gram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(или) дрессировки собак (открытая или закрытая);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з) оборудование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велопарковок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вблизи многоквартирных домов (у входа или напротив);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и) оборудование площадок для настольных игр (шахматы, домино, настольный теннис);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к) благоустройство контейнерных площадок (включая подъездные пути к ним) на дворовых территориях;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л) оборудование системы видеонаблюдения на дворовых территориях;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м) ремонт и устройство тротуаров дворовых территорий, а также дорожек от входа в многоквартирный дом (подъезда) и (или) дорожек от входа в оснащение пандусами тротуаров и (или) </w:t>
      </w:r>
      <w:proofErr w:type="gram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дорожек  от</w:t>
      </w:r>
      <w:proofErr w:type="gram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входа в многоквартирный дом (подъезда) для маломобильных групп населения).</w:t>
      </w:r>
    </w:p>
    <w:p w:rsidR="007D00BE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Включение  предложений  заинтересованных  лиц  о включении территории общего пользования и дворовой те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рритории многоквартирного дома </w:t>
      </w:r>
      <w:r w:rsidRPr="007D2788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в муниципальную программу осуществляется согласно постановлению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7D27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 образования «Город Астрахань» от 31</w:t>
      </w:r>
      <w:r w:rsidRPr="007D27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марта 2017 года №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1905</w:t>
      </w:r>
      <w:r w:rsidRPr="007D27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 утверждении порядков и сроков представления, </w:t>
      </w:r>
      <w:r w:rsidRPr="007D27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рассмотрения и оценки предложений заинтересованных лиц о включении дворовой территории, наиболее посещаемой территории общего пользования муниципал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ьного образования «Город Астрахань</w:t>
      </w:r>
      <w:r w:rsidRPr="007D27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в муниципальную программу «Формирование современной городской среды на территории муниципал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ьного образования «Город Астрахань</w:t>
      </w:r>
      <w:r w:rsidRPr="007D27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</w:t>
      </w:r>
    </w:p>
    <w:p w:rsidR="007D00BE" w:rsidRPr="00F37C52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37C52">
        <w:rPr>
          <w:rFonts w:ascii="Times New Roman" w:hAnsi="Times New Roman"/>
          <w:kern w:val="0"/>
          <w:sz w:val="28"/>
          <w:szCs w:val="28"/>
          <w:lang w:eastAsia="en-US"/>
        </w:rPr>
        <w:t xml:space="preserve">Порядок и формы трудового и (или) финансового участия граждан в выполнении минимального, дополнительного перечней работ по благоустройству дворовых территорий муниципального образования «Город Астрахань» установлен постановлением администрации муниципального образования «Город Астрахань» «Об утверждении </w:t>
      </w:r>
      <w:r w:rsidRPr="00F37C5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Порядок аккумулирования и расходования денежных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муниципального образования «Город Астрахань».</w:t>
      </w:r>
    </w:p>
    <w:p w:rsidR="007D00BE" w:rsidRDefault="007D00BE" w:rsidP="007D00BE">
      <w:pPr>
        <w:suppressAutoHyphens w:val="0"/>
        <w:spacing w:after="0" w:line="240" w:lineRule="atLeast"/>
        <w:ind w:left="104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D00BE" w:rsidRDefault="007D00BE" w:rsidP="007D00BE">
      <w:pPr>
        <w:numPr>
          <w:ilvl w:val="0"/>
          <w:numId w:val="5"/>
        </w:num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Ресурсное обеспечение муниципальной программы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spacing w:after="0" w:line="240" w:lineRule="atLeast"/>
        <w:ind w:left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Реализацию мероприятий Программы планируется осуществить за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счет средств федерального бюджета, бюджета Астраханской области и бюджета муниципального образования «Город Астрахань».</w:t>
      </w:r>
    </w:p>
    <w:p w:rsidR="007D00BE" w:rsidRPr="001A75FD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1A75F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Общий объем финансирования мероприятий муниципальной программы </w:t>
      </w:r>
      <w:proofErr w:type="gramStart"/>
      <w:r w:rsidRPr="001A75F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составляет  -</w:t>
      </w:r>
      <w:proofErr w:type="gramEnd"/>
      <w:r w:rsidRPr="001A75F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в том числе: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из них по годам: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2018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2019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2020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2021-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2022-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за счет средств бюд</w:t>
      </w:r>
      <w:r>
        <w:rPr>
          <w:rFonts w:ascii="Times New Roman" w:hAnsi="Times New Roman"/>
          <w:sz w:val="28"/>
          <w:szCs w:val="28"/>
        </w:rPr>
        <w:t xml:space="preserve">жета Астраханской области –    </w:t>
      </w:r>
      <w:r w:rsidRPr="001A75FD">
        <w:rPr>
          <w:rFonts w:ascii="Times New Roman" w:hAnsi="Times New Roman"/>
          <w:sz w:val="28"/>
          <w:szCs w:val="28"/>
        </w:rPr>
        <w:t>рублей, из них по годам: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«Город Астрахань» -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из них по годам: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2018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2019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 xml:space="preserve">2020 – </w:t>
      </w:r>
    </w:p>
    <w:p w:rsidR="007D00BE" w:rsidRPr="001A75FD" w:rsidRDefault="007D00BE" w:rsidP="007D00B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A75FD">
        <w:rPr>
          <w:rFonts w:ascii="Times New Roman" w:hAnsi="Times New Roman"/>
          <w:sz w:val="28"/>
          <w:szCs w:val="28"/>
        </w:rPr>
        <w:t>2021-</w:t>
      </w:r>
    </w:p>
    <w:p w:rsidR="007D00BE" w:rsidRPr="00EE0846" w:rsidRDefault="007D00BE" w:rsidP="007D00BE">
      <w:pPr>
        <w:suppressAutoHyphens w:val="0"/>
        <w:spacing w:after="0" w:line="240" w:lineRule="atLeas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75FD">
        <w:rPr>
          <w:rFonts w:ascii="Times New Roman" w:hAnsi="Times New Roman"/>
          <w:sz w:val="28"/>
          <w:szCs w:val="28"/>
        </w:rPr>
        <w:t>2022-</w:t>
      </w:r>
    </w:p>
    <w:p w:rsidR="007D00BE" w:rsidRDefault="007D00BE" w:rsidP="007D00BE">
      <w:pPr>
        <w:suppressAutoHyphens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Объемы финансирования за счет бюджетов всех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уровней  подлежат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уточнению исходя из возможностей соответствующих бюджетов с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корректировкой мероприятий Программы, результатов их реализации и оценки эффективности.</w:t>
      </w:r>
    </w:p>
    <w:p w:rsidR="007D00BE" w:rsidRDefault="007D00BE" w:rsidP="007D00BE">
      <w:pPr>
        <w:suppressAutoHyphens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Распределение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расходов  на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реализацию муниципальной программы представлено в приложении 2 к муниципальной программе.</w:t>
      </w:r>
    </w:p>
    <w:p w:rsidR="007D00BE" w:rsidRDefault="007D00BE" w:rsidP="007D00BE">
      <w:pPr>
        <w:suppressAutoHyphens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numPr>
          <w:ilvl w:val="0"/>
          <w:numId w:val="5"/>
        </w:num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1371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Механизм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реализации муниципальной программы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spacing w:after="0" w:line="240" w:lineRule="atLeast"/>
        <w:ind w:left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Управление по коммунальному хозяйству и благоустройству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администрации муниципального образования «Город Астрахань» определяет механизм реализации Программы, который направлен на эффективное планирование хода исполнения ее мероприятий, обеспечение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контроля  исполнения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программных мероприятий, выработку решений при возникновении отклонений от показателей при исполнении мероприятий  от запланированных значений, и включает: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разработку проектов нормативных правовых актов органов местного самоуправления муниципального образования «Город Астрахань», внесение изменений в действующие нормативные правовые акты органов местного самоуправления муниципального образования «Город Астрахань», необходимые для выполнения муниципальной программы;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уточнение объемов финансирования по программным мероприятиям на очередной финансовый год и на плановый период;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- управление муниципальной программой, эффективное использование средств, выделяемых на ее реализацию;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достижение запланированных результатов;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информирование общественности о ходе и результатах реализации Программы, финансировании программных мероприятий, в том числе о механизме их реализации.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Pr="00546F5A" w:rsidRDefault="007D00BE" w:rsidP="007D00BE">
      <w:pPr>
        <w:numPr>
          <w:ilvl w:val="0"/>
          <w:numId w:val="5"/>
        </w:num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46F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Сведения об ответственном исполнителе, соисполнителях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46F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муниципальной программы, организация управления муниципальной </w:t>
      </w:r>
      <w:proofErr w:type="gramStart"/>
      <w:r w:rsidRPr="00546F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программой  и</w:t>
      </w:r>
      <w:proofErr w:type="gramEnd"/>
      <w:r w:rsidRPr="00546F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контроль за ходом ее реализации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Разработчиком и ответственным исполнителем Программы является управление по коммунальному хозяйству и благоустройству администрации муниципального образования «Город Астрахань».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Ответственный исполнитель осуществляет управление реализацией муниципальной программы, а именно: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осуществляет сбор и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систематизацию  статистической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аналитической информации о реализации программных мероприятий, ведет учет и осуществляет хранение документов, касающихся муниципальной программы;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ежегодно осуществляет оценку достигнутых целей и эффективности реализации муниципальной программы;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ab/>
        <w:t xml:space="preserve"> - готовит и направляет в управление экономики и предпринимательства администрации муниципального образования «Город Астрахань» отчеты о ходе реализации муниципальной программы по итогам: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- 1 квартала,1 полугодия, 9 месяцев – до 20 числа месяца, следующего за отчетным периодом;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года и по итогам реализации муниципальной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программы 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весь период ее действия (итоговый) – до 1 марта года, следующего за отчетным годом;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на основании отчета об оценке эффективности реализации муниципальной программы представляет в управление экономики и предпринимательства администрации    муниципального образования «Город Астрахань»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Внутренний муниципальный  финансовый контроль при реализации муниципальной программы осуществляется финансово-казначейским управлением  администрации муниципального образования «Город Астрахань» в части полномочий предоставленных финансовым органам Бюджетным кодексом Российской Федерации и Федеральным законом от 05.04.2015 № 44-ФЗ «О контрактной системе в сфере закупок товаров, работ, услуг для обеспечения государственных и муниципальных нужд, в случае проведения контрольных проверок – управление внутреннего муниципального финансового контроля администрации муниципального образования «Город Астрахань».</w:t>
      </w:r>
    </w:p>
    <w:p w:rsidR="007D00BE" w:rsidRDefault="007D00BE" w:rsidP="007D0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A19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3A19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видеофиксации</w:t>
      </w:r>
      <w:proofErr w:type="spellEnd"/>
      <w:r w:rsidRPr="003A19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(или) на </w:t>
      </w:r>
      <w:proofErr w:type="spellStart"/>
      <w:r w:rsidRPr="003A19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общемуниципальный</w:t>
      </w:r>
      <w:proofErr w:type="spellEnd"/>
      <w:r w:rsidRPr="003A19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интерактивный портал в сети Интернет.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7D00BE" w:rsidRDefault="007D00BE" w:rsidP="007D00BE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numPr>
          <w:ilvl w:val="0"/>
          <w:numId w:val="5"/>
        </w:num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E082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7D00BE" w:rsidRDefault="007D00BE" w:rsidP="007D00BE">
      <w:pPr>
        <w:suppressAutoHyphens w:val="0"/>
        <w:spacing w:after="0" w:line="24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результате реализации мероприятий программы планируется достижение следующих результатов: </w:t>
      </w: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-создание благоприятных, здоровых и культурных условий жизни и досуга населения;</w:t>
      </w: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-повышение эксплуатационных характеристик дворовых территорий, проездов к дворовым территориям многоквартирных домов и внутриквартальных дорог;</w:t>
      </w: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-повышение качества освещенности улиц и дворовых территорий;</w:t>
      </w: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-обеспечение содержания объектов озеленения, наружного освещения улиц и дворовых территорий города;</w:t>
      </w: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-повышение комфортности проживания граждан, а также улучшение эстетического состояния территории города и дворовых территорий;</w:t>
      </w:r>
    </w:p>
    <w:p w:rsidR="007D00BE" w:rsidRPr="0064758C" w:rsidRDefault="007D00BE" w:rsidP="007D00BE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-развитие системы обустроенных общественных пространств. </w:t>
      </w:r>
    </w:p>
    <w:p w:rsidR="007D00BE" w:rsidRPr="0064758C" w:rsidRDefault="007D00BE" w:rsidP="007D00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758C">
        <w:rPr>
          <w:rFonts w:ascii="Times New Roman" w:hAnsi="Times New Roman"/>
          <w:bCs/>
          <w:kern w:val="0"/>
          <w:sz w:val="28"/>
          <w:szCs w:val="28"/>
          <w:lang w:eastAsia="ru-RU"/>
        </w:rPr>
        <w:t>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показателями.</w: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Критерии оценки эффективности реализации муниципальной программы:</w: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sub_641"/>
      <w:r w:rsidRPr="00214061">
        <w:rPr>
          <w:rFonts w:ascii="Times New Roman" w:hAnsi="Times New Roman"/>
          <w:bCs/>
          <w:sz w:val="28"/>
          <w:szCs w:val="28"/>
        </w:rPr>
        <w:t>1) уровень освоения финансовых средств на реализацию муниципальной программы;</w: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" w:name="sub_642"/>
      <w:bookmarkEnd w:id="1"/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214061">
        <w:rPr>
          <w:rFonts w:ascii="Times New Roman" w:hAnsi="Times New Roman"/>
          <w:bCs/>
          <w:sz w:val="28"/>
          <w:szCs w:val="28"/>
        </w:rPr>
        <w:t>уровень достижения запланированных значений показателей (индикаторов);</w: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" w:name="sub_606"/>
      <w:bookmarkStart w:id="4" w:name="sub_605"/>
      <w:bookmarkEnd w:id="2"/>
      <w:r w:rsidRPr="00214061">
        <w:rPr>
          <w:rFonts w:ascii="Times New Roman" w:hAnsi="Times New Roman"/>
          <w:bCs/>
          <w:sz w:val="28"/>
          <w:szCs w:val="28"/>
        </w:rPr>
        <w:t>1.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bookmarkEnd w:id="3"/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485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>,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где: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 xml:space="preserve"> - уровень освоения финансовых средств на реализацию i-</w:t>
      </w:r>
      <w:proofErr w:type="spellStart"/>
      <w:r w:rsidRPr="0021406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14061">
        <w:rPr>
          <w:rFonts w:ascii="Times New Roman" w:hAnsi="Times New Roman"/>
          <w:bCs/>
          <w:sz w:val="28"/>
          <w:szCs w:val="28"/>
        </w:rPr>
        <w:t xml:space="preserve"> программного мероприятия муниципальной программы (в процентах);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 xml:space="preserve"> - фактический объем расходов на i-</w:t>
      </w:r>
      <w:proofErr w:type="spellStart"/>
      <w:r w:rsidRPr="00214061">
        <w:rPr>
          <w:rFonts w:ascii="Times New Roman" w:hAnsi="Times New Roman"/>
          <w:bCs/>
          <w:sz w:val="28"/>
          <w:szCs w:val="28"/>
        </w:rPr>
        <w:t>ое</w:t>
      </w:r>
      <w:proofErr w:type="spellEnd"/>
      <w:r w:rsidRPr="00214061">
        <w:rPr>
          <w:rFonts w:ascii="Times New Roman" w:hAnsi="Times New Roman"/>
          <w:bCs/>
          <w:sz w:val="28"/>
          <w:szCs w:val="28"/>
        </w:rPr>
        <w:t xml:space="preserve"> программное мероприятие в отчетном периоде;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 xml:space="preserve"> - плановый объем расходов i-</w:t>
      </w:r>
      <w:proofErr w:type="spellStart"/>
      <w:r w:rsidRPr="0021406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14061">
        <w:rPr>
          <w:rFonts w:ascii="Times New Roman" w:hAnsi="Times New Roman"/>
          <w:bCs/>
          <w:sz w:val="28"/>
          <w:szCs w:val="28"/>
        </w:rPr>
        <w:t xml:space="preserve"> программного мероприятия на отчетный период;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i - номер программного мероприятия муниципальной программы.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формуле: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6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>,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lastRenderedPageBreak/>
        <w:t>где: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n - количество программных мероприятий муниципальной программы.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2. Уровень достижения запланированных значений показателей (индикаторов) определяется отношением фактически достигнутого значения каждого показателя (индикатора) в отчетном периоде к его плановому значению по формуле:</w:t>
      </w:r>
    </w:p>
    <w:bookmarkEnd w:id="4"/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48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>,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где: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 xml:space="preserve"> - уровень достижения i-</w:t>
      </w:r>
      <w:proofErr w:type="spellStart"/>
      <w:r w:rsidRPr="0021406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14061">
        <w:rPr>
          <w:rFonts w:ascii="Times New Roman" w:hAnsi="Times New Roman"/>
          <w:bCs/>
          <w:sz w:val="28"/>
          <w:szCs w:val="28"/>
        </w:rPr>
        <w:t xml:space="preserve"> показателя (индикатора) муниципальной программы в процентах;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 xml:space="preserve"> - фактическое значение i-</w:t>
      </w:r>
      <w:proofErr w:type="spellStart"/>
      <w:r w:rsidRPr="0021406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14061">
        <w:rPr>
          <w:rFonts w:ascii="Times New Roman" w:hAnsi="Times New Roman"/>
          <w:bCs/>
          <w:sz w:val="28"/>
          <w:szCs w:val="28"/>
        </w:rPr>
        <w:t xml:space="preserve"> показателя (индикатора), достигнутое в ходе реализации муниципальной программы в отчетном периоде;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 xml:space="preserve"> - плановое значение i-</w:t>
      </w:r>
      <w:proofErr w:type="spellStart"/>
      <w:r w:rsidRPr="0021406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14061">
        <w:rPr>
          <w:rFonts w:ascii="Times New Roman" w:hAnsi="Times New Roman"/>
          <w:bCs/>
          <w:sz w:val="28"/>
          <w:szCs w:val="28"/>
        </w:rPr>
        <w:t xml:space="preserve"> показателя (индикатора), утвержденное в муниципальной программе на отчетный период;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i - номер показателя (индикатора) муниципальной программы.</w: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Эффективность реализации муниципальной программы в целом по уровню достижения значений показателей (индикаторов) определяется по формуле: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3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61">
        <w:rPr>
          <w:rFonts w:ascii="Times New Roman" w:hAnsi="Times New Roman"/>
          <w:bCs/>
          <w:sz w:val="28"/>
          <w:szCs w:val="28"/>
        </w:rPr>
        <w:t>,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где: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n - количество показателей (индикаторов) муниципальной программы.</w: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061">
        <w:rPr>
          <w:rFonts w:ascii="Times New Roman" w:hAnsi="Times New Roman"/>
          <w:bCs/>
          <w:sz w:val="28"/>
          <w:szCs w:val="28"/>
        </w:rPr>
        <w:t>По каждому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5" w:name="sub_607"/>
      <w:r w:rsidRPr="00214061">
        <w:rPr>
          <w:rFonts w:ascii="Times New Roman" w:hAnsi="Times New Roman"/>
          <w:bCs/>
          <w:sz w:val="28"/>
          <w:szCs w:val="28"/>
        </w:rPr>
        <w:t>3. Общая эффективность реализации муниципальной программы в целом рассчитывается по формуле:</w:t>
      </w:r>
    </w:p>
    <w:bookmarkEnd w:id="5"/>
    <w:p w:rsidR="007D00BE" w:rsidRPr="00214061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019175" cy="594995"/>
                <wp:effectExtent l="3175" t="0" r="0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9175" cy="47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001" y="171427"/>
                            <a:ext cx="101007" cy="3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3809" y="247640"/>
                            <a:ext cx="124409" cy="26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220" y="171427"/>
                            <a:ext cx="86306" cy="3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9131" y="38106"/>
                            <a:ext cx="100907" cy="3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3839" y="114318"/>
                            <a:ext cx="80706" cy="26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Pr="003D4BB6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19146" y="38106"/>
                            <a:ext cx="86306" cy="3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3953" y="38106"/>
                            <a:ext cx="100907" cy="3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8661" y="114318"/>
                            <a:ext cx="73705" cy="26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Pr="003D4BB6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9146" y="266743"/>
                            <a:ext cx="76806" cy="3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BE" w:rsidRDefault="007D00BE" w:rsidP="007D00B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530" y="257141"/>
                            <a:ext cx="504937" cy="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80.25pt;height:46.85pt;mso-position-horizontal-relative:char;mso-position-vertical-relative:line" coordsize="10191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91;height:5949;visibility:visible;mso-wrap-style:square">
                  <v:fill o:detectmouseclick="t"/>
                  <v:path o:connecttype="none"/>
                </v:shape>
                <v:rect id="Rectangle 4" o:spid="_x0000_s1028" style="position:absolute;width:1019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5" o:spid="_x0000_s1029" style="position:absolute;left:190;top:1714;width:101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D00BE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6" o:spid="_x0000_s1030" style="position:absolute;left:1238;top:2476;width:124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D00BE" w:rsidRDefault="007D00BE" w:rsidP="007D00BE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2762;top:1714;width:86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D00BE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8" o:spid="_x0000_s1032" style="position:absolute;left:4191;top:381;width:1009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D00BE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9" o:spid="_x0000_s1033" style="position:absolute;left:5238;top:1143;width:80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D00BE" w:rsidRPr="003D4BB6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Ф</w:t>
                        </w:r>
                      </w:p>
                    </w:txbxContent>
                  </v:textbox>
                </v:rect>
                <v:rect id="Rectangle 10" o:spid="_x0000_s1034" style="position:absolute;left:6191;top:381;width:863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D00BE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" o:spid="_x0000_s1035" style="position:absolute;left:7239;top:381;width:1009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D00BE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12" o:spid="_x0000_s1036" style="position:absolute;left:8286;top:1143;width:73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D00BE" w:rsidRPr="003D4BB6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13" o:spid="_x0000_s1037" style="position:absolute;left:6191;top:2667;width:768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D00BE" w:rsidRDefault="007D00BE" w:rsidP="007D00BE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038" style="position:absolute;left:4095;top:2571;width:504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HcrwA&#10;AADbAAAADwAAAGRycy9kb3ducmV2LnhtbESPywrCMBBF94L/EEZwp2ldiFTTUgTRrQ9cD83YFptJ&#10;bWKtf28EweXlPg53kw2mET11rrasIJ5HIIgLq2suFVzOu9kKhPPIGhvLpOBNDrJ0PNpgou2Lj9Sf&#10;fCnCCLsEFVTet4mUrqjIoJvbljh4N9sZ9EF2pdQdvsK4aeQiipbSYM2BUGFL24qK++lpFJj83sT5&#10;Pr4N152M+ucjkNqDUtPJkK9BeBr8P/xrH7SCRQzfL+EHy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rgdyvAAAANsAAAAPAAAAAAAAAAAAAAAAAJgCAABkcnMvZG93bnJldi54&#10;bWxQSwUGAAAAAAQABAD1AAAAgQMAAAAA&#10;" fillcolor="black" strokeweight="42e-5mm"/>
                <w10:anchorlock/>
              </v:group>
            </w:pict>
          </mc:Fallback>
        </mc:AlternateContent>
      </w:r>
    </w:p>
    <w:p w:rsidR="007D00BE" w:rsidRPr="00214061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6" w:name="sub_608"/>
      <w:r w:rsidRPr="00214061">
        <w:rPr>
          <w:rFonts w:ascii="Times New Roman" w:hAnsi="Times New Roman"/>
          <w:bCs/>
          <w:sz w:val="28"/>
          <w:szCs w:val="28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7D00BE" w:rsidRPr="009229EB" w:rsidRDefault="007D00BE" w:rsidP="007D00BE">
      <w:pPr>
        <w:pStyle w:val="a3"/>
        <w:numPr>
          <w:ilvl w:val="0"/>
          <w:numId w:val="2"/>
        </w:numPr>
        <w:suppressAutoHyphens w:val="0"/>
        <w:spacing w:after="0"/>
        <w:ind w:left="567" w:hanging="425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7" w:name="sub_681"/>
      <w:bookmarkEnd w:id="6"/>
      <w:r w:rsidRPr="009229EB">
        <w:rPr>
          <w:rFonts w:ascii="Times New Roman" w:hAnsi="Times New Roman"/>
          <w:bCs/>
          <w:sz w:val="28"/>
          <w:szCs w:val="28"/>
        </w:rPr>
        <w:t xml:space="preserve">муниципальная программа реализуется эффективно, если значение показателя </w:t>
      </w:r>
      <w:proofErr w:type="spellStart"/>
      <w:r w:rsidRPr="009229EB">
        <w:rPr>
          <w:rFonts w:ascii="Times New Roman" w:hAnsi="Times New Roman"/>
          <w:bCs/>
          <w:sz w:val="28"/>
          <w:szCs w:val="28"/>
        </w:rPr>
        <w:t>Э</w:t>
      </w:r>
      <w:r w:rsidRPr="009229EB">
        <w:rPr>
          <w:rFonts w:ascii="Times New Roman" w:hAnsi="Times New Roman"/>
          <w:bCs/>
          <w:sz w:val="18"/>
          <w:szCs w:val="28"/>
        </w:rPr>
        <w:t>Пр</w:t>
      </w:r>
      <w:proofErr w:type="spellEnd"/>
      <w:r w:rsidRPr="009229EB">
        <w:rPr>
          <w:rFonts w:ascii="Times New Roman" w:hAnsi="Times New Roman"/>
          <w:bCs/>
          <w:sz w:val="28"/>
          <w:szCs w:val="28"/>
        </w:rPr>
        <w:t xml:space="preserve"> составляет 90% и более;</w:t>
      </w:r>
    </w:p>
    <w:p w:rsidR="007D00BE" w:rsidRDefault="007D00BE" w:rsidP="007D00BE">
      <w:pPr>
        <w:pStyle w:val="a3"/>
        <w:numPr>
          <w:ilvl w:val="0"/>
          <w:numId w:val="2"/>
        </w:numPr>
        <w:suppressAutoHyphens w:val="0"/>
        <w:spacing w:after="0"/>
        <w:ind w:left="567" w:hanging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муниципальная программа реализуется неэффективно, если значение показателя </w:t>
      </w:r>
      <w:proofErr w:type="spellStart"/>
      <w:r>
        <w:rPr>
          <w:rFonts w:ascii="Times New Roman" w:hAnsi="Times New Roman"/>
          <w:bCs/>
          <w:sz w:val="28"/>
          <w:szCs w:val="28"/>
        </w:rPr>
        <w:t>Э</w:t>
      </w:r>
      <w:r>
        <w:rPr>
          <w:rFonts w:ascii="Times New Roman" w:hAnsi="Times New Roman"/>
          <w:bCs/>
          <w:sz w:val="18"/>
          <w:szCs w:val="28"/>
        </w:rPr>
        <w:t>Пр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составляет от 80% до 90%;</w:t>
      </w:r>
      <w:bookmarkEnd w:id="7"/>
    </w:p>
    <w:p w:rsidR="007D00BE" w:rsidRPr="006928B0" w:rsidRDefault="007D00BE" w:rsidP="007D00BE">
      <w:pPr>
        <w:pStyle w:val="a3"/>
        <w:numPr>
          <w:ilvl w:val="0"/>
          <w:numId w:val="2"/>
        </w:numPr>
        <w:suppressAutoHyphens w:val="0"/>
        <w:spacing w:after="0"/>
        <w:ind w:left="567" w:hanging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 xml:space="preserve">муниципальная программа реализуется неэффективно, если значение показателя </w:t>
      </w:r>
      <w:proofErr w:type="spellStart"/>
      <w:r w:rsidRPr="006928B0">
        <w:rPr>
          <w:rFonts w:ascii="Times New Roman" w:hAnsi="Times New Roman"/>
          <w:bCs/>
          <w:sz w:val="28"/>
          <w:szCs w:val="28"/>
        </w:rPr>
        <w:t>Э</w:t>
      </w:r>
      <w:r w:rsidRPr="006928B0">
        <w:rPr>
          <w:rFonts w:ascii="Times New Roman" w:hAnsi="Times New Roman"/>
          <w:bCs/>
          <w:sz w:val="18"/>
          <w:szCs w:val="28"/>
        </w:rPr>
        <w:t>Пр</w:t>
      </w:r>
      <w:proofErr w:type="spellEnd"/>
      <w:r w:rsidRPr="006928B0">
        <w:rPr>
          <w:rFonts w:ascii="Times New Roman" w:hAnsi="Times New Roman"/>
          <w:bCs/>
          <w:sz w:val="28"/>
          <w:szCs w:val="28"/>
        </w:rPr>
        <w:t xml:space="preserve"> составляет менее 80%.</w:t>
      </w:r>
    </w:p>
    <w:p w:rsidR="007D00BE" w:rsidRPr="006928B0" w:rsidRDefault="007D00BE" w:rsidP="007D00B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>В итоге реализации Программы к концу 2022 года ожидается следующий экономический эффект:</w:t>
      </w:r>
    </w:p>
    <w:p w:rsidR="007D00BE" w:rsidRDefault="007D00BE" w:rsidP="007D00BE">
      <w:pPr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>- повышение экономическо</w:t>
      </w:r>
      <w:r>
        <w:rPr>
          <w:rFonts w:ascii="Times New Roman" w:hAnsi="Times New Roman"/>
          <w:bCs/>
          <w:sz w:val="28"/>
          <w:szCs w:val="28"/>
        </w:rPr>
        <w:t>й активности на благоустроенных</w:t>
      </w:r>
    </w:p>
    <w:p w:rsidR="007D00BE" w:rsidRPr="006928B0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>общественных территориях города,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места);</w:t>
      </w:r>
    </w:p>
    <w:p w:rsidR="007D00BE" w:rsidRDefault="007D00BE" w:rsidP="007D00BE">
      <w:pPr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 xml:space="preserve">Социальная </w:t>
      </w:r>
      <w:proofErr w:type="gramStart"/>
      <w:r w:rsidRPr="006928B0">
        <w:rPr>
          <w:rFonts w:ascii="Times New Roman" w:hAnsi="Times New Roman"/>
          <w:bCs/>
          <w:sz w:val="28"/>
          <w:szCs w:val="28"/>
        </w:rPr>
        <w:t xml:space="preserve">эффективность 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обусловлена  развитием</w:t>
      </w:r>
    </w:p>
    <w:p w:rsidR="007D00BE" w:rsidRPr="006928B0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>гармоничной городской среды, генерирующей положительное эмоциональное восприятие города, а также удовлетворением запроса населения на качественную городскую среду.</w:t>
      </w:r>
    </w:p>
    <w:p w:rsidR="007D00BE" w:rsidRDefault="007D00BE" w:rsidP="007D00BE">
      <w:pPr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>Рационально выстроенная городская среда</w:t>
      </w:r>
      <w:r>
        <w:rPr>
          <w:rFonts w:ascii="Times New Roman" w:hAnsi="Times New Roman"/>
          <w:bCs/>
          <w:sz w:val="28"/>
          <w:szCs w:val="28"/>
        </w:rPr>
        <w:t xml:space="preserve"> позволит снизить градус</w:t>
      </w:r>
    </w:p>
    <w:p w:rsidR="007D00BE" w:rsidRDefault="007D00BE" w:rsidP="007D0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928B0">
        <w:rPr>
          <w:rFonts w:ascii="Times New Roman" w:hAnsi="Times New Roman"/>
          <w:bCs/>
          <w:sz w:val="28"/>
          <w:szCs w:val="28"/>
        </w:rPr>
        <w:t>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объединения талантливых людей.</w:t>
      </w:r>
    </w:p>
    <w:p w:rsidR="007D00BE" w:rsidRPr="007D2788" w:rsidRDefault="007D00BE" w:rsidP="007D00BE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D00BE" w:rsidRDefault="007D00BE" w:rsidP="007D00BE">
      <w:pPr>
        <w:tabs>
          <w:tab w:val="left" w:pos="6600"/>
        </w:tabs>
        <w:suppressAutoHyphens w:val="0"/>
        <w:spacing w:after="0" w:line="240" w:lineRule="atLeas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7D00BE" w:rsidRPr="007D2788" w:rsidRDefault="007D00BE" w:rsidP="007D00BE">
      <w:pPr>
        <w:suppressAutoHyphens w:val="0"/>
        <w:spacing w:after="0" w:line="240" w:lineRule="atLeast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Pr="00461543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sectPr w:rsidR="007D00BE" w:rsidRPr="0046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64C5"/>
    <w:multiLevelType w:val="hybridMultilevel"/>
    <w:tmpl w:val="2566FFB6"/>
    <w:lvl w:ilvl="0" w:tplc="B55E529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25E76"/>
    <w:multiLevelType w:val="hybridMultilevel"/>
    <w:tmpl w:val="80D4A9E4"/>
    <w:lvl w:ilvl="0" w:tplc="844E271A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3964FDF"/>
    <w:multiLevelType w:val="hybridMultilevel"/>
    <w:tmpl w:val="1FCE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227"/>
    <w:multiLevelType w:val="hybridMultilevel"/>
    <w:tmpl w:val="0E204DAE"/>
    <w:lvl w:ilvl="0" w:tplc="71ECC702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C91759E"/>
    <w:multiLevelType w:val="hybridMultilevel"/>
    <w:tmpl w:val="02D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43"/>
    <w:rsid w:val="000F1DC0"/>
    <w:rsid w:val="00461543"/>
    <w:rsid w:val="004A1104"/>
    <w:rsid w:val="007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B302-6B10-4848-835B-A9E3214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43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consultantplus://offline/ref=175F1522B23564744C049B5AACB9D33778C8774E951DFF301F710C910F85149FE79717F4DD92DE8AF5B08EUEm7H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2017-08-24T04:31:00Z</dcterms:created>
  <dcterms:modified xsi:type="dcterms:W3CDTF">2017-08-24T04:36:00Z</dcterms:modified>
</cp:coreProperties>
</file>