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B5614C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1969-р</w:t>
      </w:r>
    </w:p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предоставлении разрешения на отклонение от </w:t>
      </w:r>
      <w:proofErr w:type="gramStart"/>
      <w:r w:rsidRPr="00164C3D">
        <w:rPr>
          <w:spacing w:val="0"/>
        </w:rPr>
        <w:t>предельных</w:t>
      </w:r>
      <w:proofErr w:type="gramEnd"/>
      <w:r w:rsidRPr="00164C3D">
        <w:rPr>
          <w:spacing w:val="0"/>
        </w:rPr>
        <w:t xml:space="preserve"> </w:t>
      </w:r>
    </w:p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параметров разрешенного строительства, реконструкции </w:t>
      </w:r>
    </w:p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объекта капитального строительства</w:t>
      </w:r>
    </w:p>
    <w:p w:rsidR="00B5614C" w:rsidRPr="00164C3D" w:rsidRDefault="00B5614C" w:rsidP="00B5614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по ул. Бабаевского, 39в в Ленинском районе г. Астрахани»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>В связи с обращением ООО «Гранат», Литвинова Ф.Г. от 09.09.2021 № 03-04-01-5989,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164C3D">
        <w:rPr>
          <w:spacing w:val="0"/>
        </w:rPr>
        <w:t xml:space="preserve">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Бабаевского, 39в в Ленинском районе г. Астрахани в отношении земельных участков площадью 240 кв. м и 282 кв. м для объектов нежилого назначения, образуемых в результате перераспределения земельных участков площадью 150 кв. м (кадастровый номер 30:12:020238:72), площадью 183 кв. м (кадастровый номер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30:12:020238:293) и площадью 189 кв. м (кадастровый номер 30:12:020238:257) по ул. Бабаевского, 39в в Ленинском районе г. Астрахани.</w:t>
      </w:r>
      <w:proofErr w:type="gramEnd"/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5614C" w:rsidRPr="00164C3D" w:rsidRDefault="00B5614C" w:rsidP="00B5614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5614C" w:rsidRPr="00164C3D" w:rsidRDefault="00B5614C" w:rsidP="00B5614C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B5614C"/>
    <w:sectPr w:rsidR="00FF4A14" w:rsidSect="00B561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14C"/>
    <w:rsid w:val="008505A8"/>
    <w:rsid w:val="00A56E3A"/>
    <w:rsid w:val="00B5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1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1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1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1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2021-11-18T04:20:00Z</dcterms:created>
  <dcterms:modified xsi:type="dcterms:W3CDTF">2021-11-18T04:20:00Z</dcterms:modified>
</cp:coreProperties>
</file>