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E6" w:rsidRDefault="00D425E6" w:rsidP="00D425E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D425E6" w:rsidRDefault="00D425E6" w:rsidP="00D425E6">
      <w:pPr>
        <w:pStyle w:val="a3"/>
        <w:jc w:val="center"/>
        <w:rPr>
          <w:rStyle w:val="1TimesNewRoman"/>
          <w:rFonts w:asciiTheme="majorHAnsi" w:eastAsia="Courier New" w:hAnsiTheme="majorHAnsi" w:cs="Courier New"/>
          <w:bCs w:val="0"/>
          <w:spacing w:val="0"/>
          <w:sz w:val="20"/>
          <w:szCs w:val="24"/>
        </w:rPr>
      </w:pPr>
      <w:bookmarkStart w:id="0" w:name="bookmark0"/>
      <w:r w:rsidRPr="00D425E6">
        <w:rPr>
          <w:rStyle w:val="1TimesNewRoman"/>
          <w:rFonts w:asciiTheme="majorHAnsi" w:eastAsia="Courier New" w:hAnsiTheme="majorHAnsi" w:cs="Courier New"/>
          <w:bCs w:val="0"/>
          <w:spacing w:val="0"/>
          <w:sz w:val="20"/>
          <w:szCs w:val="24"/>
        </w:rPr>
        <w:t>РАСПОРЯЖЕНИЕ</w:t>
      </w:r>
    </w:p>
    <w:p w:rsidR="00D425E6" w:rsidRDefault="00D425E6" w:rsidP="00D425E6">
      <w:pPr>
        <w:pStyle w:val="a3"/>
        <w:jc w:val="center"/>
      </w:pPr>
      <w:r w:rsidRPr="00D425E6">
        <w:rPr>
          <w:rStyle w:val="10"/>
          <w:rFonts w:asciiTheme="majorHAnsi" w:hAnsiTheme="majorHAnsi"/>
          <w:sz w:val="20"/>
          <w:szCs w:val="20"/>
          <w:u w:val="none"/>
        </w:rPr>
        <w:t>01 декабря 2017 год</w:t>
      </w:r>
      <w:r w:rsidRPr="00D425E6">
        <w:rPr>
          <w:rFonts w:asciiTheme="majorHAnsi" w:hAnsiTheme="majorHAnsi"/>
          <w:sz w:val="20"/>
          <w:szCs w:val="20"/>
        </w:rPr>
        <w:t>а</w:t>
      </w:r>
      <w:r>
        <w:rPr>
          <w:rFonts w:asciiTheme="majorHAnsi" w:hAnsiTheme="majorHAnsi"/>
          <w:b/>
          <w:sz w:val="20"/>
          <w:szCs w:val="20"/>
        </w:rPr>
        <w:t xml:space="preserve"> №2054-р</w:t>
      </w:r>
      <w:bookmarkEnd w:id="0"/>
    </w:p>
    <w:p w:rsidR="00D425E6" w:rsidRDefault="00D425E6" w:rsidP="00D425E6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«О </w:t>
      </w:r>
      <w:proofErr w:type="gramStart"/>
      <w:r>
        <w:rPr>
          <w:rFonts w:asciiTheme="majorHAnsi" w:hAnsiTheme="majorHAnsi"/>
          <w:b/>
          <w:sz w:val="20"/>
          <w:szCs w:val="20"/>
        </w:rPr>
        <w:t>временном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ограничений дорожного движения на время проведения Крестного хода»</w:t>
      </w:r>
    </w:p>
    <w:p w:rsidR="00D425E6" w:rsidRDefault="00D425E6" w:rsidP="00D425E6">
      <w:pPr>
        <w:pStyle w:val="1"/>
        <w:shd w:val="clear" w:color="auto" w:fill="auto"/>
        <w:spacing w:before="0" w:after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 xml:space="preserve">В соответствии с Федеральными законами «О транспортной безопасности»,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«О безопасности дорожного движения», Законом Астраханской области «О случаях установления временных ограничения или прекращения движения транспортных средств по автомобильным </w:t>
      </w:r>
      <w:r>
        <w:rPr>
          <w:rStyle w:val="12pt"/>
          <w:rFonts w:ascii="Arial" w:hAnsi="Arial" w:cs="Arial"/>
          <w:bCs/>
          <w:sz w:val="18"/>
          <w:szCs w:val="18"/>
        </w:rPr>
        <w:t>дорогам</w:t>
      </w:r>
      <w:r>
        <w:rPr>
          <w:rStyle w:val="12pt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регионального </w:t>
      </w:r>
      <w:r>
        <w:rPr>
          <w:rStyle w:val="12pt"/>
          <w:rFonts w:ascii="Arial" w:hAnsi="Arial" w:cs="Arial"/>
          <w:bCs/>
          <w:sz w:val="18"/>
          <w:szCs w:val="18"/>
        </w:rPr>
        <w:t>или</w:t>
      </w:r>
      <w:r>
        <w:rPr>
          <w:rStyle w:val="12pt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межмуниципального, местного </w:t>
      </w:r>
      <w:r>
        <w:rPr>
          <w:rStyle w:val="12pt"/>
          <w:rFonts w:ascii="Arial" w:hAnsi="Arial" w:cs="Arial"/>
          <w:bCs/>
          <w:sz w:val="18"/>
          <w:szCs w:val="18"/>
        </w:rPr>
        <w:t>значения в границах населенных пунктов»,</w:t>
      </w:r>
      <w:r>
        <w:rPr>
          <w:rStyle w:val="12pt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постановлением Правительства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>
        <w:rPr>
          <w:rStyle w:val="12pt"/>
          <w:rFonts w:ascii="Arial" w:hAnsi="Arial" w:cs="Arial"/>
          <w:bCs/>
          <w:sz w:val="18"/>
          <w:szCs w:val="18"/>
        </w:rPr>
        <w:t>Астраханской</w:t>
      </w:r>
      <w:r>
        <w:rPr>
          <w:rStyle w:val="12pt"/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области от 16.03.2012 № 86-П </w:t>
      </w:r>
      <w:r>
        <w:rPr>
          <w:rStyle w:val="12pt"/>
          <w:rFonts w:ascii="Arial" w:hAnsi="Arial" w:cs="Arial"/>
          <w:b/>
          <w:bCs/>
          <w:sz w:val="18"/>
          <w:szCs w:val="18"/>
        </w:rPr>
        <w:t xml:space="preserve">«О </w:t>
      </w:r>
      <w:r>
        <w:rPr>
          <w:rFonts w:ascii="Arial" w:hAnsi="Arial" w:cs="Arial"/>
          <w:b w:val="0"/>
          <w:color w:val="000000"/>
          <w:sz w:val="18"/>
          <w:szCs w:val="18"/>
        </w:rPr>
        <w:t>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Астраханской области», на основании распоряжения Министерства промышленности, транспорта и природных ресурсов Астраханской области от 22.11.2017 №107-р «О назначении уполномоченного представителя»:</w:t>
      </w:r>
    </w:p>
    <w:p w:rsidR="00D425E6" w:rsidRDefault="00D425E6" w:rsidP="00D425E6">
      <w:pPr>
        <w:pStyle w:val="1"/>
        <w:numPr>
          <w:ilvl w:val="0"/>
          <w:numId w:val="1"/>
        </w:numPr>
        <w:shd w:val="clear" w:color="auto" w:fill="auto"/>
        <w:tabs>
          <w:tab w:val="left" w:pos="1333"/>
        </w:tabs>
        <w:spacing w:before="0" w:after="0" w:line="240" w:lineRule="auto"/>
        <w:ind w:left="20"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Ввести временное ограничение дорожного движения 03.12.2017 с</w:t>
      </w:r>
      <w:r>
        <w:rPr>
          <w:rFonts w:ascii="Arial" w:hAnsi="Arial" w:cs="Arial"/>
          <w:b w:val="0"/>
          <w:sz w:val="18"/>
          <w:szCs w:val="18"/>
        </w:rPr>
        <w:t xml:space="preserve"> 18:00 до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19:00 по ул.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Курской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от д.9 по ул.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Магнитогорской до д.25 по ул.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Грузинской на время проведения Крестного хода.</w:t>
      </w:r>
    </w:p>
    <w:p w:rsidR="00D425E6" w:rsidRDefault="00D425E6" w:rsidP="00D425E6">
      <w:pPr>
        <w:pStyle w:val="1"/>
        <w:numPr>
          <w:ilvl w:val="0"/>
          <w:numId w:val="1"/>
        </w:numPr>
        <w:shd w:val="clear" w:color="auto" w:fill="auto"/>
        <w:tabs>
          <w:tab w:val="left" w:pos="1333"/>
        </w:tabs>
        <w:spacing w:before="0" w:after="0" w:line="240" w:lineRule="auto"/>
        <w:ind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Утвердить прилагаемую схему расположения технических средств организации дорожного движения, ограничивающих движение по ул. Курская, ул. Магнитогорская, ул. Писарева и ул. Грузинская на время проведения Крестного хода.</w:t>
      </w:r>
    </w:p>
    <w:p w:rsidR="00D425E6" w:rsidRDefault="00D425E6" w:rsidP="00D425E6">
      <w:pPr>
        <w:pStyle w:val="1"/>
        <w:numPr>
          <w:ilvl w:val="0"/>
          <w:numId w:val="1"/>
        </w:numPr>
        <w:shd w:val="clear" w:color="auto" w:fill="auto"/>
        <w:tabs>
          <w:tab w:val="left" w:pos="1333"/>
          <w:tab w:val="right" w:pos="9502"/>
        </w:tabs>
        <w:spacing w:before="0" w:after="0" w:line="240" w:lineRule="auto"/>
        <w:ind w:left="20" w:firstLine="70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Управлению информационной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политики администрации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муниципального образования «Город Астрахань» </w:t>
      </w: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разместить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настоящее распоряжение на официальном сайте администрации муниципального образования «Город Астрахань» и проинформировать население о принятом распоряжении в средствах массовой информации.</w:t>
      </w:r>
    </w:p>
    <w:p w:rsidR="00D425E6" w:rsidRDefault="00D425E6" w:rsidP="00D425E6">
      <w:pPr>
        <w:pStyle w:val="1"/>
        <w:numPr>
          <w:ilvl w:val="0"/>
          <w:numId w:val="1"/>
        </w:numPr>
        <w:shd w:val="clear" w:color="auto" w:fill="auto"/>
        <w:tabs>
          <w:tab w:val="left" w:pos="1333"/>
          <w:tab w:val="right" w:pos="9502"/>
        </w:tabs>
        <w:spacing w:before="0" w:after="0" w:line="240" w:lineRule="auto"/>
        <w:ind w:left="20" w:firstLine="700"/>
        <w:contextualSpacing/>
        <w:rPr>
          <w:rFonts w:ascii="Arial" w:hAnsi="Arial" w:cs="Arial"/>
          <w:b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 w:val="0"/>
          <w:color w:val="000000"/>
          <w:sz w:val="18"/>
          <w:szCs w:val="18"/>
        </w:rPr>
        <w:t xml:space="preserve"> исполнением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настоящего распоряжения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color w:val="000000"/>
          <w:sz w:val="18"/>
          <w:szCs w:val="18"/>
        </w:rPr>
        <w:t>администрации муниципального образования «Город Астрахань» возложить на начальника управления по коммунальному хозяйству и благоустройству администрации муниципального образования «Город Астрахань».</w:t>
      </w:r>
    </w:p>
    <w:p w:rsidR="00D425E6" w:rsidRDefault="00D425E6" w:rsidP="00D425E6">
      <w:pPr>
        <w:pStyle w:val="1"/>
        <w:shd w:val="clear" w:color="auto" w:fill="auto"/>
        <w:tabs>
          <w:tab w:val="right" w:pos="5790"/>
          <w:tab w:val="right" w:pos="8218"/>
          <w:tab w:val="right" w:pos="9502"/>
        </w:tabs>
        <w:spacing w:before="0" w:after="0" w:line="260" w:lineRule="exact"/>
        <w:ind w:left="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И.о. главы администрации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С.Б.Агабеков</w:t>
      </w:r>
      <w:proofErr w:type="spellEnd"/>
    </w:p>
    <w:p w:rsidR="00D425E6" w:rsidRDefault="00D425E6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225F3D" w:rsidRDefault="00225F3D" w:rsidP="00D425E6">
      <w:pPr>
        <w:widowControl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</w:p>
    <w:p w:rsidR="00984FF0" w:rsidRDefault="00225F3D" w:rsidP="0069552D">
      <w:pPr>
        <w:widowControl/>
      </w:pPr>
      <w:r>
        <w:rPr>
          <w:rFonts w:ascii="Arial" w:eastAsia="Times New Roman" w:hAnsi="Arial" w:cs="Arial"/>
          <w:b/>
          <w:bCs/>
          <w:noProof/>
          <w:color w:val="auto"/>
          <w:sz w:val="18"/>
          <w:szCs w:val="18"/>
        </w:rPr>
        <w:drawing>
          <wp:inline distT="0" distB="0" distL="0" distR="0" wp14:anchorId="664149AF" wp14:editId="71B4BBA0">
            <wp:extent cx="5489640" cy="76343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57" cy="76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F61"/>
    <w:multiLevelType w:val="multilevel"/>
    <w:tmpl w:val="9E581F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B"/>
    <w:rsid w:val="00101FAB"/>
    <w:rsid w:val="00225F3D"/>
    <w:rsid w:val="0069552D"/>
    <w:rsid w:val="00984FF0"/>
    <w:rsid w:val="00D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D42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425E6"/>
    <w:pPr>
      <w:shd w:val="clear" w:color="auto" w:fill="FFFFFF"/>
      <w:spacing w:before="1080" w:after="480" w:line="319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5 pt,Интервал 4 pt"/>
    <w:basedOn w:val="a0"/>
    <w:rsid w:val="00D425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10">
    <w:name w:val="Заголовок №1"/>
    <w:basedOn w:val="a0"/>
    <w:rsid w:val="00D425E6"/>
    <w:rPr>
      <w:rFonts w:ascii="Trebuchet MS" w:eastAsia="Trebuchet MS" w:hAnsi="Trebuchet MS" w:cs="Trebuchet MS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pt">
    <w:name w:val="Основной текст + 12 pt"/>
    <w:aliases w:val="Не полужирный,Интервал 0 pt"/>
    <w:basedOn w:val="a4"/>
    <w:rsid w:val="00D425E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5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3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5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D42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425E6"/>
    <w:pPr>
      <w:shd w:val="clear" w:color="auto" w:fill="FFFFFF"/>
      <w:spacing w:before="1080" w:after="480" w:line="319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5 pt,Интервал 4 pt"/>
    <w:basedOn w:val="a0"/>
    <w:rsid w:val="00D425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30"/>
      <w:szCs w:val="30"/>
      <w:u w:val="none"/>
      <w:effect w:val="none"/>
      <w:lang w:val="ru-RU"/>
    </w:rPr>
  </w:style>
  <w:style w:type="character" w:customStyle="1" w:styleId="10">
    <w:name w:val="Заголовок №1"/>
    <w:basedOn w:val="a0"/>
    <w:rsid w:val="00D425E6"/>
    <w:rPr>
      <w:rFonts w:ascii="Trebuchet MS" w:eastAsia="Trebuchet MS" w:hAnsi="Trebuchet MS" w:cs="Trebuchet MS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pt">
    <w:name w:val="Основной текст + 12 pt"/>
    <w:aliases w:val="Не полужирный,Интервал 0 pt"/>
    <w:basedOn w:val="a4"/>
    <w:rsid w:val="00D425E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25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F3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2017-12-01T12:45:00Z</dcterms:created>
  <dcterms:modified xsi:type="dcterms:W3CDTF">2017-12-01T12:47:00Z</dcterms:modified>
</cp:coreProperties>
</file>