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EB4" w:rsidRDefault="00154EB4" w:rsidP="00154EB4">
      <w:pPr>
        <w:pStyle w:val="3"/>
      </w:pPr>
      <w:r>
        <w:t>Администрация муниципального образования «Город Астрахань»</w:t>
      </w:r>
    </w:p>
    <w:p w:rsidR="00154EB4" w:rsidRDefault="00154EB4" w:rsidP="00154EB4">
      <w:pPr>
        <w:pStyle w:val="3"/>
      </w:pPr>
      <w:r>
        <w:t>РАСПОРЯЖЕНИЕ</w:t>
      </w:r>
    </w:p>
    <w:p w:rsidR="00154EB4" w:rsidRDefault="00154EB4" w:rsidP="00154EB4">
      <w:pPr>
        <w:pStyle w:val="3"/>
      </w:pPr>
      <w:r>
        <w:t>22 августа 2018 года № 3776-р</w:t>
      </w:r>
    </w:p>
    <w:p w:rsidR="00154EB4" w:rsidRDefault="00154EB4" w:rsidP="00154EB4">
      <w:pPr>
        <w:pStyle w:val="3"/>
      </w:pPr>
      <w:r>
        <w:t>«О проведении открытого конкурса на право заключения</w:t>
      </w:r>
    </w:p>
    <w:p w:rsidR="00154EB4" w:rsidRDefault="00154EB4" w:rsidP="00154EB4">
      <w:pPr>
        <w:pStyle w:val="3"/>
      </w:pPr>
      <w:r>
        <w:t xml:space="preserve">концессионного соглашения о создании и эксплуатации системы </w:t>
      </w:r>
    </w:p>
    <w:p w:rsidR="00154EB4" w:rsidRDefault="00154EB4" w:rsidP="00154EB4">
      <w:pPr>
        <w:pStyle w:val="3"/>
      </w:pPr>
      <w:r>
        <w:t xml:space="preserve">платных парковок на автомобильных дорогах общего пользования </w:t>
      </w:r>
    </w:p>
    <w:p w:rsidR="00154EB4" w:rsidRDefault="00154EB4" w:rsidP="00154EB4">
      <w:pPr>
        <w:pStyle w:val="3"/>
      </w:pPr>
      <w:r>
        <w:t>местного значения муниципального образования «Город Астрахань»</w:t>
      </w:r>
    </w:p>
    <w:p w:rsidR="00154EB4" w:rsidRDefault="00154EB4" w:rsidP="00154EB4">
      <w:pPr>
        <w:pStyle w:val="a4"/>
      </w:pPr>
      <w:proofErr w:type="gramStart"/>
      <w:r>
        <w:t>В соответствии с Федеральным законом «О концессионных соглашениях», Федеральным законом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постановлением администрации муниципального образования «Город Астрахань» от 07.11.2016 № 7643 «Об утверждении Порядка создания и использования, в том числе на платной основе, парковок (парковочных мест), расположенных на автомобильных дорогах</w:t>
      </w:r>
      <w:proofErr w:type="gramEnd"/>
      <w:r>
        <w:t xml:space="preserve"> </w:t>
      </w:r>
      <w:proofErr w:type="gramStart"/>
      <w:r>
        <w:t>общего пользования местного значения муниципального образования «Город Астрахань» с изменениями, внесенными постановлениями администрации муниципального образования «Город Астрахань» от 30.05.2017 № 3220, от 05.04.2018 № 239, постановлением администрации муниципального образования «Город Астрахань» от 20.06.2018 № 388 «О создании и эксплуатации системы платных парковок на автомобильных дорогах общего пользования местного значения муниципального образования «Город Астрахань», распоряжением администрации муниципального образования «Город Астрахань» от 13.01.2017 № 14-р «О</w:t>
      </w:r>
      <w:proofErr w:type="gramEnd"/>
      <w:r>
        <w:t xml:space="preserve"> </w:t>
      </w:r>
      <w:proofErr w:type="gramStart"/>
      <w:r>
        <w:t>порядке подготовки, заключения и контроля реализации концессионных соглашений на территории муниципального образования «Город Астрахань», распоряжением администрации муниципального образования «Город Астрахань» от 29.08.2018 № 988-р «О Порядке зачисления в бюджет муниципального образования «Город Астрахань» платы за пользование парковками (парковочными местами), расположенными на автомобильных дорогах общего пользования местного значения на территории муниципального образования «Город Астрахань», протоколом заседания инвестиционной комиссии от 25.04.2017 № 1 и</w:t>
      </w:r>
      <w:proofErr w:type="gramEnd"/>
      <w:r>
        <w:t xml:space="preserve"> в целях привлечения инвестиций в экономику муниципального образования «Город Астрахань», организации и обеспечения безопасности дорожного движения:</w:t>
      </w:r>
    </w:p>
    <w:p w:rsidR="00154EB4" w:rsidRDefault="00154EB4" w:rsidP="00154EB4">
      <w:pPr>
        <w:pStyle w:val="a4"/>
      </w:pPr>
      <w:r>
        <w:t xml:space="preserve">1. </w:t>
      </w:r>
      <w:proofErr w:type="gramStart"/>
      <w:r>
        <w:t>Заключить концессионное соглашение в отношении объекта концессионного соглашения, состав и описание которого приведены в приложении 1 к настоящему распоряжению администрации муниципального образования «Город Астрахань», о создании и эксплуатации системы платных парковок на автомобильных дорогах общего пользования местного значения муниципального образования «Город Астрахань» (далее - концессионное соглашение) путем проведения открытого конкурса на право заключения концессионного соглашения (далее - конкурс) с победителем конкурса.</w:t>
      </w:r>
      <w:proofErr w:type="gramEnd"/>
    </w:p>
    <w:p w:rsidR="00154EB4" w:rsidRDefault="00154EB4" w:rsidP="00154EB4">
      <w:pPr>
        <w:pStyle w:val="a4"/>
      </w:pPr>
      <w:r>
        <w:t>2. Установить:</w:t>
      </w:r>
    </w:p>
    <w:p w:rsidR="00154EB4" w:rsidRDefault="00154EB4" w:rsidP="00154EB4">
      <w:pPr>
        <w:pStyle w:val="a4"/>
      </w:pPr>
      <w:r>
        <w:t>- условия концессионного соглашения согласно приложению 2 к настоящему распоряжению администрации муниципального образования «Город Астрахань»;</w:t>
      </w:r>
    </w:p>
    <w:p w:rsidR="00154EB4" w:rsidRDefault="00154EB4" w:rsidP="00154EB4">
      <w:pPr>
        <w:pStyle w:val="a4"/>
      </w:pPr>
      <w:r>
        <w:t>- критерии конкурса и параметры критериев конкурса согласно приложению 3 к настоящему распоряжению администрации муниципального образования «Город Астрахань»;</w:t>
      </w:r>
    </w:p>
    <w:p w:rsidR="00154EB4" w:rsidRDefault="00154EB4" w:rsidP="00154EB4">
      <w:pPr>
        <w:pStyle w:val="a4"/>
      </w:pPr>
      <w:proofErr w:type="gramStart"/>
      <w:r>
        <w:t>- срок опубликования в официальном печатном издании муниципального образования «Город Астрахань» в бюллетене «Астраханский вестник», размещения на официальном сайте Российской Федерации в информационно-телекоммуникационной сети Интернет для размещения информации о проведении торгов www.torgi.gov.ru и на официальном сайте администрации муниципального образования «Город Астрахань» www.astrgorod.ru в информационно-телекоммуникационной сети Интернет сообщения о проведении открытого конкурса не позднее 30 рабочих дней</w:t>
      </w:r>
      <w:proofErr w:type="gramEnd"/>
      <w:r>
        <w:t xml:space="preserve"> до дня истечения срока представления заявок на участие в конкурсе, определенного в соответствии с требованиями, предусмотренными конкурсной документацией;</w:t>
      </w:r>
    </w:p>
    <w:p w:rsidR="00154EB4" w:rsidRDefault="00154EB4" w:rsidP="00154EB4">
      <w:pPr>
        <w:pStyle w:val="a4"/>
      </w:pPr>
      <w:r>
        <w:t xml:space="preserve">- орган, уполномоченным </w:t>
      </w:r>
      <w:proofErr w:type="spellStart"/>
      <w:r>
        <w:t>концедентом</w:t>
      </w:r>
      <w:proofErr w:type="spellEnd"/>
      <w:r>
        <w:t xml:space="preserve"> </w:t>
      </w:r>
      <w:proofErr w:type="gramStart"/>
      <w:r>
        <w:t>на</w:t>
      </w:r>
      <w:proofErr w:type="gramEnd"/>
      <w:r>
        <w:t>:</w:t>
      </w:r>
    </w:p>
    <w:p w:rsidR="00154EB4" w:rsidRDefault="00154EB4" w:rsidP="00154EB4">
      <w:pPr>
        <w:pStyle w:val="a4"/>
      </w:pPr>
      <w:r>
        <w:t>а) утверждение конкурсной документации, внесение изменений в конкурсную документацию, за исключением устанавливаемых в соответствии с решением о заключении концессионного соглашения положений конкурсной документации;</w:t>
      </w:r>
    </w:p>
    <w:p w:rsidR="00154EB4" w:rsidRDefault="00154EB4" w:rsidP="00154EB4">
      <w:pPr>
        <w:pStyle w:val="a4"/>
      </w:pPr>
      <w:r>
        <w:t>б) создание конкурсной комиссии по проведению конкурса (далее - конкурсная комиссия), утверждение персонального состава конкурсной комиссии - управление экономики и предпринимательства администрации муниципального образования «Город Астрахань».</w:t>
      </w:r>
    </w:p>
    <w:p w:rsidR="00154EB4" w:rsidRDefault="00154EB4" w:rsidP="00154EB4">
      <w:pPr>
        <w:pStyle w:val="a4"/>
      </w:pPr>
      <w:r>
        <w:t xml:space="preserve">3. Определить куратором концессионного соглашения на осуществление </w:t>
      </w:r>
      <w:proofErr w:type="gramStart"/>
      <w:r>
        <w:t>контроля за</w:t>
      </w:r>
      <w:proofErr w:type="gramEnd"/>
      <w:r>
        <w:t xml:space="preserve"> соблюдением концессионером условий концессионного соглашения и подписание актов приема-передачи объекта концессионного соглашения управление по коммунальному хозяйству и благоустройству администрации муниципального образования «Город Астрахань».</w:t>
      </w:r>
    </w:p>
    <w:p w:rsidR="00154EB4" w:rsidRDefault="00154EB4" w:rsidP="00154EB4">
      <w:pPr>
        <w:pStyle w:val="a4"/>
      </w:pPr>
      <w:r>
        <w:t>4. Управлению муниципального имущества администрации муниципального образования «Город Астрахань»:</w:t>
      </w:r>
    </w:p>
    <w:p w:rsidR="00154EB4" w:rsidRDefault="00154EB4" w:rsidP="00154EB4">
      <w:pPr>
        <w:pStyle w:val="a4"/>
      </w:pPr>
      <w:r>
        <w:t>4.1. После заключения концессионного соглашения передать концессионеру в порядке, установленном условиями концессионного соглашения, утвержденными настоящим распоряжением, объект по адресу: г. Астрахань, ул. Чехова, 10, литер</w:t>
      </w:r>
      <w:proofErr w:type="gramStart"/>
      <w:r>
        <w:t xml:space="preserve"> А</w:t>
      </w:r>
      <w:proofErr w:type="gramEnd"/>
      <w:r>
        <w:t xml:space="preserve"> в составе помещений 1 этажа: № 28, № 29, № 33, № 34, № 35 и помещений подвала: № 1, № 9, № 10, № 11, № 12, № 13, № 14, № 15 общей площадью 216,3 кв. м и заключить договор аренды земельного участка под указанным объектом. </w:t>
      </w:r>
    </w:p>
    <w:p w:rsidR="00154EB4" w:rsidRDefault="00154EB4" w:rsidP="00154EB4">
      <w:pPr>
        <w:pStyle w:val="a4"/>
      </w:pPr>
      <w:r>
        <w:t>4.2. Обеспечить прием в собственность муниципального образования «Город Астрахань» созданного объекта концессионного соглашения.</w:t>
      </w:r>
    </w:p>
    <w:p w:rsidR="00154EB4" w:rsidRDefault="00154EB4" w:rsidP="00154EB4">
      <w:pPr>
        <w:pStyle w:val="a4"/>
      </w:pPr>
      <w:r>
        <w:t>5. Управлению информационной политики администрации муниципального образования «Город Астрахань»:</w:t>
      </w:r>
    </w:p>
    <w:p w:rsidR="00154EB4" w:rsidRDefault="00154EB4" w:rsidP="00154EB4">
      <w:pPr>
        <w:pStyle w:val="a4"/>
      </w:pPr>
      <w:r>
        <w:lastRenderedPageBreak/>
        <w:t>5.1. Опубликовать настоящее распоряжение администрации муниципального образования «Город Астрахань» в средствах массовой информации.</w:t>
      </w:r>
    </w:p>
    <w:p w:rsidR="00154EB4" w:rsidRDefault="00154EB4" w:rsidP="00154EB4">
      <w:pPr>
        <w:pStyle w:val="a4"/>
      </w:pPr>
      <w:r>
        <w:t xml:space="preserve">5.2. </w:t>
      </w:r>
      <w:proofErr w:type="gramStart"/>
      <w:r>
        <w:t>Разместить</w:t>
      </w:r>
      <w:proofErr w:type="gramEnd"/>
      <w: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54EB4" w:rsidRDefault="00154EB4" w:rsidP="00154EB4">
      <w:pPr>
        <w:pStyle w:val="a4"/>
      </w:pPr>
      <w:r>
        <w:t>6. Настоящее распоряжение администрации муниципального образования «Город Астрахань» вступает в силу со дня его официального опубликования.</w:t>
      </w:r>
    </w:p>
    <w:p w:rsidR="00154EB4" w:rsidRDefault="00154EB4" w:rsidP="00154EB4">
      <w:pPr>
        <w:pStyle w:val="a4"/>
      </w:pPr>
      <w:r>
        <w:t xml:space="preserve">7. </w:t>
      </w:r>
      <w:proofErr w:type="gramStart"/>
      <w:r>
        <w:t>Контроль за</w:t>
      </w:r>
      <w:proofErr w:type="gramEnd"/>
      <w:r>
        <w:t xml:space="preserve"> исполнением настоящего распоряжения администрации муниципального образования «Город Астрахань» возложить на заместителя главы администрации по экономике администрации муниципального образования «Город Астрахань».</w:t>
      </w:r>
    </w:p>
    <w:p w:rsidR="00154EB4" w:rsidRDefault="00154EB4" w:rsidP="00154EB4">
      <w:pPr>
        <w:pStyle w:val="a4"/>
        <w:jc w:val="right"/>
      </w:pPr>
      <w:r>
        <w:rPr>
          <w:b/>
          <w:bCs/>
        </w:rPr>
        <w:t>Глава администрации О.А. ПОЛУМОРДВИНОВ</w:t>
      </w:r>
    </w:p>
    <w:p w:rsidR="00154EB4" w:rsidRDefault="00154EB4" w:rsidP="00154EB4">
      <w:pPr>
        <w:pStyle w:val="a4"/>
      </w:pPr>
    </w:p>
    <w:p w:rsidR="00154EB4" w:rsidRDefault="00154EB4" w:rsidP="00154EB4">
      <w:pPr>
        <w:pStyle w:val="a4"/>
        <w:ind w:left="2835" w:firstLine="0"/>
      </w:pPr>
      <w:r>
        <w:t xml:space="preserve">Приложение 1 к распоряжению администрации </w:t>
      </w:r>
    </w:p>
    <w:p w:rsidR="00154EB4" w:rsidRDefault="00154EB4" w:rsidP="00154EB4">
      <w:pPr>
        <w:pStyle w:val="a4"/>
        <w:ind w:left="2835" w:firstLine="0"/>
      </w:pPr>
      <w:r>
        <w:t>муниципального образования «Город Астрахань»</w:t>
      </w:r>
    </w:p>
    <w:p w:rsidR="00154EB4" w:rsidRDefault="00154EB4" w:rsidP="00154EB4">
      <w:pPr>
        <w:pStyle w:val="a4"/>
        <w:ind w:left="2835" w:firstLine="0"/>
      </w:pPr>
      <w:r>
        <w:t>от 22.08.2018 № 3776-р</w:t>
      </w:r>
    </w:p>
    <w:p w:rsidR="00154EB4" w:rsidRDefault="00154EB4" w:rsidP="00154EB4">
      <w:pPr>
        <w:pStyle w:val="3"/>
      </w:pPr>
      <w:r>
        <w:t>Состав, описание, в том числе технико</w:t>
      </w:r>
      <w:proofErr w:type="gramStart"/>
      <w:r>
        <w:t>­-</w:t>
      </w:r>
      <w:proofErr w:type="gramEnd"/>
      <w:r>
        <w:t xml:space="preserve">экономические показатели </w:t>
      </w:r>
    </w:p>
    <w:p w:rsidR="00154EB4" w:rsidRDefault="00154EB4" w:rsidP="00154EB4">
      <w:pPr>
        <w:pStyle w:val="3"/>
      </w:pPr>
      <w:r>
        <w:t>объекта концессионного соглашения</w:t>
      </w:r>
    </w:p>
    <w:p w:rsidR="00154EB4" w:rsidRDefault="00154EB4" w:rsidP="00154EB4">
      <w:pPr>
        <w:pStyle w:val="a4"/>
      </w:pPr>
      <w:r>
        <w:t>Объектом концессионного соглашения является система платных парковок на автомобильных дорогах общего пользования местного значения муниципального образования «Город Астрахань», создание которой осуществляется путем реконструкции недвижимого имущества (нежилых помещений Единого диспетчерского центра по адресу: г. Астрахань, ул. Чехова, 10, литер</w:t>
      </w:r>
      <w:proofErr w:type="gramStart"/>
      <w:r>
        <w:t xml:space="preserve"> А</w:t>
      </w:r>
      <w:proofErr w:type="gramEnd"/>
      <w:r>
        <w:t xml:space="preserve">, а именно: помещений 1 этажа № 28, № 29, № 33, № 34, № 35 и помещений подвала № 1, № 9, № 10, № 11, № 12, № 13, № 14, № 15 </w:t>
      </w:r>
      <w:proofErr w:type="gramStart"/>
      <w:r>
        <w:t>общей площадью 216,3 кв. м) и создания технологически связанного с ним движимого имущества - элементов обустройства автомобильных дорог общего пользования местного значения муниципального образования «Город Астрахань» (а именно: платных парковок, специально оборудованных дорожными знаками, разметкой, иными техническими средствами и устройствами для организации временного размещения транспортных средств за плату, в том числе стационарными и мобильными средствами, имеющими функции фото- и киносъемки, видеозаписи</w:t>
      </w:r>
      <w:proofErr w:type="gramEnd"/>
      <w:r>
        <w:t xml:space="preserve"> для взимания платы и фиксации нарушений порядка использования платных парковок, программно-аппаратным комплексом), предназначенного для осуществления деятельности по эксплуатации платных парковок.</w:t>
      </w:r>
    </w:p>
    <w:p w:rsidR="00154EB4" w:rsidRDefault="00154EB4" w:rsidP="00154EB4">
      <w:pPr>
        <w:pStyle w:val="a4"/>
      </w:pPr>
      <w:r>
        <w:t>Недвижимое имущество:</w:t>
      </w:r>
    </w:p>
    <w:p w:rsidR="00154EB4" w:rsidRDefault="00154EB4" w:rsidP="00154EB4">
      <w:pPr>
        <w:pStyle w:val="a4"/>
      </w:pPr>
      <w:r>
        <w:t>Нежилые помещения расположенные по адресу: г. Астрахань, ул. Чехова, 10, литер</w:t>
      </w:r>
      <w:proofErr w:type="gramStart"/>
      <w:r>
        <w:t xml:space="preserve"> А</w:t>
      </w:r>
      <w:proofErr w:type="gramEnd"/>
      <w:r>
        <w:t>, а именно: помещения 1 этажа № 28, № 29, № 33, № 34, № 35 и помещения подвала № 1, № 9, № 10, № 11, № 12, № 13, № 14, № 15 общей площадью 216,3 кв. м, в которых будет располагаться Единый диспетчерский центр (ЕДЦ), являются собственностью города Астрахани.</w:t>
      </w:r>
    </w:p>
    <w:p w:rsidR="00154EB4" w:rsidRDefault="00154EB4" w:rsidP="00154EB4">
      <w:pPr>
        <w:pStyle w:val="a4"/>
      </w:pPr>
      <w:r>
        <w:t>Движимое имущество:</w:t>
      </w:r>
    </w:p>
    <w:p w:rsidR="00154EB4" w:rsidRDefault="00154EB4" w:rsidP="00154EB4">
      <w:pPr>
        <w:pStyle w:val="a4"/>
      </w:pPr>
      <w:r>
        <w:t>- технологическое оборудование Единого диспетчерского центра (серверы и оборудование, в том числе автоматизированные рабочие места), нематериальные активы (программное обеспечение, протоколы, форматы и алгоритмы обмена и обработки данных);</w:t>
      </w:r>
    </w:p>
    <w:p w:rsidR="00154EB4" w:rsidRDefault="00154EB4" w:rsidP="00154EB4">
      <w:pPr>
        <w:pStyle w:val="a4"/>
      </w:pPr>
      <w:r>
        <w:t xml:space="preserve">- технологическое оборудование парковок, в том числе разметка парковочных мест, оборудование </w:t>
      </w:r>
      <w:proofErr w:type="spellStart"/>
      <w:r>
        <w:t>фотовидеофиксации</w:t>
      </w:r>
      <w:proofErr w:type="spellEnd"/>
      <w:r>
        <w:t>, в том числе установленное на транспортных средствах, пункты, предназначенные для взимания платы за организованную стоянку транспортных средств на парковках, находящиеся на автомобильных дорогах общего пользования местного значения, находящиеся в собственности города Астрахани.</w:t>
      </w:r>
    </w:p>
    <w:p w:rsidR="00154EB4" w:rsidRDefault="00154EB4" w:rsidP="00154EB4">
      <w:pPr>
        <w:pStyle w:val="a4"/>
        <w:rPr>
          <w:spacing w:val="2"/>
        </w:rPr>
      </w:pPr>
      <w:proofErr w:type="gramStart"/>
      <w:r>
        <w:rPr>
          <w:spacing w:val="2"/>
        </w:rPr>
        <w:t>Целями создания и использования объекта концессионного соглашения является обеспечение функционирования платных городских парковок (парковочных мест), расположенных на автомобильных дорогах общего пользования местного значения для оптимизации организации дорожного движения, в том числе повышения безопасности дорожного движения и пропускной способности дорог, снижение количества нарушений правил остановки и стоянки на улично-дорожной сети, повышение скорости движения в зонах платной парковки, увеличение оборачиваемости парковочных мест</w:t>
      </w:r>
      <w:proofErr w:type="gramEnd"/>
      <w:r>
        <w:rPr>
          <w:spacing w:val="2"/>
        </w:rPr>
        <w:t>, сокращение потоков личного автотранспорта, въезжающего в пределы платной зоны и стимулирование использования альтернативных видов транспорта.</w:t>
      </w:r>
    </w:p>
    <w:p w:rsidR="00154EB4" w:rsidRDefault="00154EB4" w:rsidP="00154EB4">
      <w:pPr>
        <w:pStyle w:val="a4"/>
      </w:pPr>
      <w:r>
        <w:t>Объект концессионного соглашения состоит из следующих основных подсистем:</w:t>
      </w:r>
    </w:p>
    <w:p w:rsidR="00154EB4" w:rsidRDefault="00154EB4" w:rsidP="00154EB4">
      <w:pPr>
        <w:pStyle w:val="a4"/>
      </w:pPr>
      <w:r>
        <w:t>1. Подсистема оплаты за организованную стоянку транспортных средств на платных парковках (парковочных местах), расположенных на автомобильных дорогах общего пользования города Астрахани (далее - Подсистема оплаты).</w:t>
      </w:r>
    </w:p>
    <w:p w:rsidR="00154EB4" w:rsidRDefault="00154EB4" w:rsidP="00154EB4">
      <w:pPr>
        <w:pStyle w:val="a4"/>
      </w:pPr>
      <w:r>
        <w:t>2. Подсистема информирования участников дорожного движения и пользователей парковок (далее - Подсистема информирования).</w:t>
      </w:r>
    </w:p>
    <w:p w:rsidR="00154EB4" w:rsidRDefault="00154EB4" w:rsidP="00154EB4">
      <w:pPr>
        <w:pStyle w:val="a4"/>
      </w:pPr>
      <w:r>
        <w:t>3. Подсистема администрирования платных парковок (парковочных мест), расположенных на автомобильных дорогах общего пользования города Астрахани (далее - Подсистема администрирования).</w:t>
      </w:r>
    </w:p>
    <w:p w:rsidR="00154EB4" w:rsidRDefault="00154EB4" w:rsidP="00154EB4">
      <w:pPr>
        <w:pStyle w:val="a4"/>
      </w:pPr>
      <w:r>
        <w:t>4. Подсистема управления функционирования парковок (далее - Подсистема управления).</w:t>
      </w:r>
    </w:p>
    <w:p w:rsidR="00154EB4" w:rsidRDefault="00154EB4" w:rsidP="00154EB4">
      <w:pPr>
        <w:pStyle w:val="a4"/>
      </w:pPr>
      <w:r>
        <w:t>5. Единый диспетчерский центр (далее - ЕДЦ).</w:t>
      </w:r>
    </w:p>
    <w:p w:rsidR="00154EB4" w:rsidRDefault="00154EB4" w:rsidP="00154EB4">
      <w:pPr>
        <w:pStyle w:val="a4"/>
      </w:pPr>
      <w:proofErr w:type="gramStart"/>
      <w:r>
        <w:t xml:space="preserve">Подсистема оплаты должна представлять собой создаваемую на территории города Астрахани технологическую инфраструктуру, обеспечивающую реализацию различных методов оплаты за пользование парковочными местами на платных парковках с использованием безналичного способа оплаты: банковской (парковочной) картой через </w:t>
      </w:r>
      <w:proofErr w:type="spellStart"/>
      <w:r>
        <w:t>паркомат</w:t>
      </w:r>
      <w:proofErr w:type="spellEnd"/>
      <w:r>
        <w:t xml:space="preserve">, мобильного приложения, SMS-оплаты, электронных платежных систем, </w:t>
      </w:r>
      <w:proofErr w:type="spellStart"/>
      <w:r>
        <w:t>web</w:t>
      </w:r>
      <w:proofErr w:type="spellEnd"/>
      <w:r>
        <w:t>-технологий и банк-клиентов, использованием платежных терминалов с обязательным обеспечением высокого уровня защиты от мошенничества и удобства для пользователей.</w:t>
      </w:r>
      <w:proofErr w:type="gramEnd"/>
    </w:p>
    <w:p w:rsidR="00154EB4" w:rsidRDefault="00154EB4" w:rsidP="00154EB4">
      <w:pPr>
        <w:pStyle w:val="a4"/>
      </w:pPr>
      <w:proofErr w:type="gramStart"/>
      <w:r>
        <w:lastRenderedPageBreak/>
        <w:t xml:space="preserve">Подсистема информирования должна представлять собой создаваемую на территории города Астрахани технологическую инфраструктуру, обеспечивающую информирование о въезде/выезде в платную зону, мониторинг заполняемости (загруженности) платных парковок (парковочных мест), информирование о наличии свободных парковочных мест, информирование о правилах пользования и оплаты парковки, о работе мобильных и портативных комплексов </w:t>
      </w:r>
      <w:proofErr w:type="spellStart"/>
      <w:r>
        <w:t>фотовидеофиксации</w:t>
      </w:r>
      <w:proofErr w:type="spellEnd"/>
      <w:r>
        <w:t xml:space="preserve"> и сумме штрафа за нарушение правил оплаты парковки.</w:t>
      </w:r>
      <w:proofErr w:type="gramEnd"/>
    </w:p>
    <w:p w:rsidR="00154EB4" w:rsidRDefault="00154EB4" w:rsidP="00154EB4">
      <w:pPr>
        <w:pStyle w:val="a4"/>
      </w:pPr>
      <w:proofErr w:type="gramStart"/>
      <w:r>
        <w:t>Создаваемый информационный «парковочный портал города Астрахани» должен информировать пользователей о расположении парковок всех типов и форм собственности с использованием интерактивной карты города, в том числе выделенных парковочных зон, и выделенных местах для отдельных групп пользователей на русском и английском языках, об инфраструктуре платной парковочной территории с предоставлением детальной информации по парковкам, загруженности парковок и другой информации.</w:t>
      </w:r>
      <w:proofErr w:type="gramEnd"/>
    </w:p>
    <w:p w:rsidR="00154EB4" w:rsidRDefault="00154EB4" w:rsidP="00154EB4">
      <w:pPr>
        <w:pStyle w:val="a4"/>
      </w:pPr>
      <w:r>
        <w:t>Создаваемая «горячая линия» должна обеспечивать информационную поддержку пользователей по всем вопросам пользования парковками, удаленный доступ операторов в автоматизированную информационную систему объекта концессионного соглашения, интеграцию с городской информационной системой.</w:t>
      </w:r>
    </w:p>
    <w:p w:rsidR="00154EB4" w:rsidRDefault="00154EB4" w:rsidP="00154EB4">
      <w:pPr>
        <w:pStyle w:val="a4"/>
      </w:pPr>
      <w:r>
        <w:t>Подсистема администрирования должна представлять собой технологическую инфраструктуру, обеспечивающую контроль использования разрешений для резидентов и льготных категорий пользователей; ведение претензионной работы с пользователями парковок; регистрацию нарушений ПДД в области дорожного движения в части остановки или стоянки транспортных сре</w:t>
      </w:r>
      <w:proofErr w:type="gramStart"/>
      <w:r>
        <w:t>дств в з</w:t>
      </w:r>
      <w:proofErr w:type="gramEnd"/>
      <w:r>
        <w:t xml:space="preserve">оне платного паркования, нарушений правил пользования парковками в части неоплаты за пользование парковками (парковочными местами) с использованием комплексов </w:t>
      </w:r>
      <w:proofErr w:type="spellStart"/>
      <w:r>
        <w:t>фотовидеофиксации</w:t>
      </w:r>
      <w:proofErr w:type="spellEnd"/>
      <w:r>
        <w:t>, работающими в автоматическом режиме; информационное и административное взаимодействие органов местного самоуправления города Астрахани, осуществляющих контрольные, надзорные и разрешительные функции в области дорожного движения, как между собой, так и с судебными органами, службами почтовых отправлений, передачу данных для проверки по базам данных в информационную систему управления ГИБДД ГУ МВД России по г. Астрахани.</w:t>
      </w:r>
    </w:p>
    <w:p w:rsidR="00154EB4" w:rsidRDefault="00154EB4" w:rsidP="00154EB4">
      <w:pPr>
        <w:pStyle w:val="a4"/>
      </w:pPr>
      <w:proofErr w:type="gramStart"/>
      <w:r>
        <w:t>Подсистема управления функционирования платных парковок предназначена для автоматизации процесса управления объектами парковочного пространства и должна представлять собой создаваемую на территории города Астрахани технологическую инфраструктуру, обеспечивающую создание и управление реестром парковок, реестром пользователей парковок, реестром парковочных и тарифных зон города Астрахани, контроль использования парковок, администрирование доходов и штрафов, возникающих при пользовании платными городскими парковками, в том числе управление начислениями и платежами</w:t>
      </w:r>
      <w:proofErr w:type="gramEnd"/>
      <w:r>
        <w:t xml:space="preserve">, информирование пользователей парковок. </w:t>
      </w:r>
      <w:proofErr w:type="gramStart"/>
      <w:r>
        <w:t>Подсистема управления должна иметь возможность интеграции с автоматизированными системами управления транспортным комплексом города, обеспечения общественной безопасности и другими информационными системами и комплексами, используемыми муниципальными органами в транспортной отрасли, с городскими информационными системами и системами обеспечения муниципальных услуг и функций, формирование штрафов за нарушение правил оплаты парковки и информирование нарушителей, информирование о перемещении транспортных средств, нарушивших ПДД, получение, обработку и передачу</w:t>
      </w:r>
      <w:proofErr w:type="gramEnd"/>
      <w:r>
        <w:t xml:space="preserve"> обращений граждан по вопросам функционирования парковок. </w:t>
      </w:r>
    </w:p>
    <w:p w:rsidR="00154EB4" w:rsidRDefault="00154EB4" w:rsidP="00154EB4">
      <w:pPr>
        <w:pStyle w:val="a4"/>
      </w:pPr>
      <w:r>
        <w:t>Единый диспетчерский центр (ЕДЦ) должен представлять собой совокупность технических и электронных средств, серверов, хранилищ данных, коммутационного оборудования, кабельной инфраструктуры и автоматизированных рабочих мест, а также помещений. Операционн</w:t>
      </w:r>
      <w:proofErr w:type="gramStart"/>
      <w:r>
        <w:t>о-</w:t>
      </w:r>
      <w:proofErr w:type="gramEnd"/>
      <w:r>
        <w:t>­информационную основу ЕДЦ представляет подсистема управления функционирования парковок, обеспечивающая в том числе административное взаимодействие органов местного самоуправления города Астрахани, осуществляющих контрольные, надзорные и разрешительные функции в области дорожного движения, как между собой, так и с судебными органами, службами почтовых отправлений, передачу данных в режиме реального времени для проверки по базам данных в информационную систему управления ГИБДД. ЕДЦ должен обеспечить наличие зоны ожидания и приема посетителей, зоны технологической поддержки, зоны операторов «горячей линии» (</w:t>
      </w:r>
      <w:proofErr w:type="spellStart"/>
      <w:r>
        <w:t>call</w:t>
      </w:r>
      <w:proofErr w:type="spellEnd"/>
      <w:r>
        <w:t>-центра), диспетчерской зоны для работы технического персонала, технической зоны и административно-хозяйственной зоны.</w:t>
      </w:r>
    </w:p>
    <w:p w:rsidR="00154EB4" w:rsidRDefault="00154EB4" w:rsidP="00154EB4">
      <w:pPr>
        <w:pStyle w:val="a4"/>
      </w:pPr>
      <w:r>
        <w:t>Обустройство платных городских парковок (парковочных мест) на автомобильных дорогах общего пользования города Астрахани технологической инфраструктурой и пунктами взимания платы за организованную стоянку транспортных средств на парковках проводится на основании разработанных и согласованных проектов организации дорожного движения.</w:t>
      </w:r>
    </w:p>
    <w:p w:rsidR="00154EB4" w:rsidRDefault="00154EB4" w:rsidP="00154EB4">
      <w:pPr>
        <w:pStyle w:val="a4"/>
      </w:pPr>
      <w:r>
        <w:t>Парковки (парковочные места) на автомобильных дорогах общего пользования города Астрахани должны быть обустроены следующей технологической инфраструктурой:</w:t>
      </w:r>
    </w:p>
    <w:p w:rsidR="00154EB4" w:rsidRDefault="00154EB4" w:rsidP="00154EB4">
      <w:pPr>
        <w:pStyle w:val="a4"/>
      </w:pPr>
      <w:r>
        <w:t>1. Разметка парковочных мест в соответствии с требованиями ГОСТ Р52289-2004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 включая места для парковки специальных автотранспортных средств инвалидов в объеме не менее 10 (десяти) процентов мест (но не менее одного места) в соответствии с требованиями статьи 15 Федерального закона «О социальной защите инвалидов в Российской Федерации».</w:t>
      </w:r>
    </w:p>
    <w:p w:rsidR="00154EB4" w:rsidRDefault="00154EB4" w:rsidP="00154EB4">
      <w:pPr>
        <w:pStyle w:val="a4"/>
      </w:pPr>
      <w:r>
        <w:t xml:space="preserve">2. Дорожные знаки в соответствии с требованиями ГОСТ Р52289-2004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 обозначающие места парковки (парковочные места), оказание платных услуг, способы постановки на стоянку, время действия, запрет остановки или стоянки, места для парковки специальных автотранспортных средств инвалидов. </w:t>
      </w:r>
    </w:p>
    <w:p w:rsidR="00154EB4" w:rsidRDefault="00154EB4" w:rsidP="00154EB4">
      <w:pPr>
        <w:pStyle w:val="a4"/>
      </w:pPr>
      <w:r>
        <w:lastRenderedPageBreak/>
        <w:t>3. Дорожные знаки индивидуального проектирования в соответствии с требованиями ГОСТ Р52289-2004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 предупреждающие о въезде (выезде) на (с) территорию зоны платного паркования.</w:t>
      </w:r>
    </w:p>
    <w:p w:rsidR="00154EB4" w:rsidRDefault="00154EB4" w:rsidP="00154EB4">
      <w:pPr>
        <w:pStyle w:val="a4"/>
      </w:pPr>
      <w:r>
        <w:t>4. Информационные щиты индивидуального проектирования с правилами паркования на платной парковке, порядком оплаты платной парковки и информацией об уровне административного штрафа за невнесение платы за пользование на платной основе парковкой (парковочным местом).</w:t>
      </w:r>
    </w:p>
    <w:p w:rsidR="00154EB4" w:rsidRDefault="00154EB4" w:rsidP="00154EB4">
      <w:pPr>
        <w:pStyle w:val="a4"/>
      </w:pPr>
      <w:r>
        <w:t xml:space="preserve">5. Оборудование Подсистемы оплаты: </w:t>
      </w:r>
      <w:proofErr w:type="spellStart"/>
      <w:r>
        <w:t>паркоматы</w:t>
      </w:r>
      <w:proofErr w:type="spellEnd"/>
      <w:r>
        <w:t xml:space="preserve"> и мобильное приложение.</w:t>
      </w:r>
    </w:p>
    <w:p w:rsidR="00154EB4" w:rsidRDefault="00154EB4" w:rsidP="00154EB4">
      <w:pPr>
        <w:pStyle w:val="a4"/>
      </w:pPr>
      <w:r>
        <w:t xml:space="preserve">6. Оборудование Подсистемы информирования согласно техническому решению концессионера для мониторинга заполняемости (загруженности) платных парковок (парковочных мест) и информирования пользователей парковок о наличии свободных парковочных мест. </w:t>
      </w:r>
    </w:p>
    <w:p w:rsidR="00154EB4" w:rsidRDefault="00154EB4" w:rsidP="00154EB4">
      <w:pPr>
        <w:pStyle w:val="a4"/>
      </w:pPr>
      <w:r>
        <w:t>7. Оборудование Подсистемы администрирования согласно техническому решению Концессионера для регистрации неоплаты платных парковок (парковочных мест), а также нарушений ПДД в области дорожного движения в части остановки или стоянки транспортных сре</w:t>
      </w:r>
      <w:proofErr w:type="gramStart"/>
      <w:r>
        <w:t>дств в з</w:t>
      </w:r>
      <w:proofErr w:type="gramEnd"/>
      <w:r>
        <w:t>оне платного паркования.</w:t>
      </w:r>
    </w:p>
    <w:p w:rsidR="00154EB4" w:rsidRDefault="00154EB4" w:rsidP="00154EB4">
      <w:pPr>
        <w:pStyle w:val="a4"/>
      </w:pPr>
    </w:p>
    <w:p w:rsidR="00154EB4" w:rsidRDefault="00154EB4" w:rsidP="00154EB4">
      <w:pPr>
        <w:pStyle w:val="3"/>
      </w:pPr>
      <w:r>
        <w:t>Технико-экономические показатели</w:t>
      </w:r>
    </w:p>
    <w:p w:rsidR="00154EB4" w:rsidRDefault="00154EB4" w:rsidP="00154EB4">
      <w:pPr>
        <w:pStyle w:val="3"/>
      </w:pPr>
      <w:r>
        <w:t>объекта концессионного соглашения</w:t>
      </w:r>
    </w:p>
    <w:tbl>
      <w:tblPr>
        <w:tblW w:w="0" w:type="auto"/>
        <w:tblInd w:w="40" w:type="dxa"/>
        <w:tblLayout w:type="fixed"/>
        <w:tblCellMar>
          <w:left w:w="0" w:type="dxa"/>
          <w:right w:w="0" w:type="dxa"/>
        </w:tblCellMar>
        <w:tblLook w:val="0000" w:firstRow="0" w:lastRow="0" w:firstColumn="0" w:lastColumn="0" w:noHBand="0" w:noVBand="0"/>
      </w:tblPr>
      <w:tblGrid>
        <w:gridCol w:w="248"/>
        <w:gridCol w:w="4809"/>
        <w:gridCol w:w="1077"/>
        <w:gridCol w:w="1129"/>
      </w:tblGrid>
      <w:tr w:rsidR="00154EB4" w:rsidTr="0031527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 xml:space="preserve">№ </w:t>
            </w:r>
          </w:p>
        </w:tc>
        <w:tc>
          <w:tcPr>
            <w:tcW w:w="48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Показатель</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jc w:val="left"/>
            </w:pPr>
            <w:r>
              <w:t>Ед. измерения</w:t>
            </w:r>
          </w:p>
        </w:tc>
        <w:tc>
          <w:tcPr>
            <w:tcW w:w="1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Описание</w:t>
            </w:r>
          </w:p>
        </w:tc>
      </w:tr>
      <w:tr w:rsidR="00154EB4" w:rsidTr="0031527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1</w:t>
            </w:r>
          </w:p>
        </w:tc>
        <w:tc>
          <w:tcPr>
            <w:tcW w:w="48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Количество участков автомобильных дорог местного значения города Астрахани, входящих в зону платного паркования</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jc w:val="left"/>
            </w:pPr>
            <w:r>
              <w:t xml:space="preserve">ед. </w:t>
            </w:r>
          </w:p>
        </w:tc>
        <w:tc>
          <w:tcPr>
            <w:tcW w:w="1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не более 81</w:t>
            </w:r>
          </w:p>
        </w:tc>
      </w:tr>
      <w:tr w:rsidR="00154EB4" w:rsidTr="0031527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2</w:t>
            </w:r>
          </w:p>
        </w:tc>
        <w:tc>
          <w:tcPr>
            <w:tcW w:w="48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Протяженность участков автомобильных дорог местного значения города Астрахани, входящих в зону платного паркования</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jc w:val="left"/>
            </w:pPr>
            <w:r>
              <w:t>км</w:t>
            </w:r>
          </w:p>
        </w:tc>
        <w:tc>
          <w:tcPr>
            <w:tcW w:w="1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не более 49</w:t>
            </w:r>
          </w:p>
        </w:tc>
      </w:tr>
      <w:tr w:rsidR="00154EB4" w:rsidTr="0031527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3</w:t>
            </w:r>
          </w:p>
        </w:tc>
        <w:tc>
          <w:tcPr>
            <w:tcW w:w="48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Площадь участков автомобильных дорог местного значения города Астрахани, входящих в зону платного паркования</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jc w:val="left"/>
            </w:pPr>
            <w:r>
              <w:t>га</w:t>
            </w:r>
          </w:p>
        </w:tc>
        <w:tc>
          <w:tcPr>
            <w:tcW w:w="1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не менее</w:t>
            </w:r>
          </w:p>
          <w:p w:rsidR="00154EB4" w:rsidRDefault="00154EB4" w:rsidP="0031527F">
            <w:pPr>
              <w:pStyle w:val="a5"/>
            </w:pPr>
            <w:r>
              <w:t>74</w:t>
            </w:r>
          </w:p>
        </w:tc>
      </w:tr>
      <w:tr w:rsidR="00154EB4" w:rsidTr="0031527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4</w:t>
            </w:r>
          </w:p>
        </w:tc>
        <w:tc>
          <w:tcPr>
            <w:tcW w:w="48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Размер оплаты за одно парковочное место за один час</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jc w:val="left"/>
            </w:pPr>
            <w:r>
              <w:t xml:space="preserve">руб. </w:t>
            </w:r>
          </w:p>
        </w:tc>
        <w:tc>
          <w:tcPr>
            <w:tcW w:w="1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30</w:t>
            </w:r>
          </w:p>
        </w:tc>
      </w:tr>
      <w:tr w:rsidR="00154EB4" w:rsidTr="0031527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5</w:t>
            </w:r>
          </w:p>
        </w:tc>
        <w:tc>
          <w:tcPr>
            <w:tcW w:w="48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Количество парковочных мест</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jc w:val="left"/>
            </w:pPr>
            <w:r>
              <w:t xml:space="preserve">ед. </w:t>
            </w:r>
          </w:p>
        </w:tc>
        <w:tc>
          <w:tcPr>
            <w:tcW w:w="1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3000 (± 20%)</w:t>
            </w:r>
            <w:r>
              <w:rPr>
                <w:vertAlign w:val="superscript"/>
              </w:rPr>
              <w:t>1</w:t>
            </w:r>
          </w:p>
        </w:tc>
      </w:tr>
      <w:tr w:rsidR="00154EB4" w:rsidTr="0031527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6</w:t>
            </w:r>
          </w:p>
        </w:tc>
        <w:tc>
          <w:tcPr>
            <w:tcW w:w="48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Единый диспетчерский центр (ЕДЦ)</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jc w:val="left"/>
            </w:pPr>
            <w:r>
              <w:t xml:space="preserve">ед. </w:t>
            </w:r>
          </w:p>
        </w:tc>
        <w:tc>
          <w:tcPr>
            <w:tcW w:w="1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1</w:t>
            </w:r>
          </w:p>
        </w:tc>
      </w:tr>
      <w:tr w:rsidR="00154EB4" w:rsidTr="0031527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7</w:t>
            </w:r>
          </w:p>
        </w:tc>
        <w:tc>
          <w:tcPr>
            <w:tcW w:w="48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Количество функциональных зон в ЕДЦ</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jc w:val="left"/>
            </w:pPr>
            <w:r>
              <w:t xml:space="preserve">ед. </w:t>
            </w:r>
          </w:p>
        </w:tc>
        <w:tc>
          <w:tcPr>
            <w:tcW w:w="1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8</w:t>
            </w:r>
          </w:p>
        </w:tc>
      </w:tr>
      <w:tr w:rsidR="00154EB4" w:rsidTr="0031527F">
        <w:tblPrEx>
          <w:tblCellMar>
            <w:top w:w="0" w:type="dxa"/>
            <w:left w:w="0" w:type="dxa"/>
            <w:bottom w:w="0" w:type="dxa"/>
            <w:right w:w="0" w:type="dxa"/>
          </w:tblCellMar>
        </w:tblPrEx>
        <w:trPr>
          <w:trHeight w:val="113"/>
        </w:trPr>
        <w:tc>
          <w:tcPr>
            <w:tcW w:w="2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8</w:t>
            </w:r>
          </w:p>
        </w:tc>
        <w:tc>
          <w:tcPr>
            <w:tcW w:w="48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Система оплаты.</w:t>
            </w:r>
          </w:p>
          <w:p w:rsidR="00154EB4" w:rsidRDefault="00154EB4" w:rsidP="0031527F">
            <w:pPr>
              <w:pStyle w:val="a5"/>
            </w:pPr>
            <w:r>
              <w:t>Время прохождения транзакции оплаты (не более):</w:t>
            </w:r>
          </w:p>
          <w:p w:rsidR="00154EB4" w:rsidRDefault="00154EB4" w:rsidP="0031527F">
            <w:pPr>
              <w:pStyle w:val="a5"/>
            </w:pPr>
            <w:r>
              <w:t xml:space="preserve">- банковская карта через </w:t>
            </w:r>
            <w:proofErr w:type="spellStart"/>
            <w:r>
              <w:t>паркомат</w:t>
            </w:r>
            <w:proofErr w:type="spellEnd"/>
          </w:p>
          <w:p w:rsidR="00154EB4" w:rsidRDefault="00154EB4" w:rsidP="0031527F">
            <w:pPr>
              <w:pStyle w:val="a5"/>
            </w:pPr>
            <w:r>
              <w:t>- SMS-оплата</w:t>
            </w:r>
          </w:p>
          <w:p w:rsidR="00154EB4" w:rsidRDefault="00154EB4" w:rsidP="0031527F">
            <w:pPr>
              <w:pStyle w:val="a5"/>
            </w:pPr>
            <w:r>
              <w:t>- мобильное приложение.</w:t>
            </w:r>
          </w:p>
          <w:p w:rsidR="00154EB4" w:rsidRDefault="00154EB4" w:rsidP="0031527F">
            <w:pPr>
              <w:pStyle w:val="a5"/>
            </w:pPr>
            <w:r>
              <w:t>Время прохождения транзакции пополнения (не более):</w:t>
            </w:r>
          </w:p>
          <w:p w:rsidR="00154EB4" w:rsidRDefault="00154EB4" w:rsidP="0031527F">
            <w:pPr>
              <w:pStyle w:val="a5"/>
            </w:pPr>
            <w:r>
              <w:t>- мобильное приложение</w:t>
            </w:r>
          </w:p>
          <w:p w:rsidR="00154EB4" w:rsidRDefault="00154EB4" w:rsidP="0031527F">
            <w:pPr>
              <w:pStyle w:val="a5"/>
            </w:pPr>
            <w:r>
              <w:t>- терминальные сети</w:t>
            </w:r>
          </w:p>
          <w:p w:rsidR="00154EB4" w:rsidRDefault="00154EB4" w:rsidP="0031527F">
            <w:pPr>
              <w:pStyle w:val="a5"/>
            </w:pPr>
            <w:r>
              <w:t xml:space="preserve">- </w:t>
            </w:r>
            <w:proofErr w:type="spellStart"/>
            <w:r>
              <w:t>Web</w:t>
            </w:r>
            <w:proofErr w:type="spellEnd"/>
            <w:r>
              <w:t>-портал</w:t>
            </w:r>
          </w:p>
          <w:p w:rsidR="00154EB4" w:rsidRDefault="00154EB4" w:rsidP="0031527F">
            <w:pPr>
              <w:pStyle w:val="a5"/>
            </w:pPr>
            <w:r>
              <w:t>- банк-клиент.</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jc w:val="left"/>
            </w:pPr>
          </w:p>
          <w:p w:rsidR="00154EB4" w:rsidRDefault="00154EB4" w:rsidP="0031527F">
            <w:pPr>
              <w:pStyle w:val="a5"/>
              <w:jc w:val="left"/>
            </w:pPr>
          </w:p>
          <w:p w:rsidR="00154EB4" w:rsidRDefault="00154EB4" w:rsidP="0031527F">
            <w:pPr>
              <w:pStyle w:val="a5"/>
              <w:jc w:val="left"/>
            </w:pPr>
            <w:r>
              <w:t>с</w:t>
            </w:r>
          </w:p>
          <w:p w:rsidR="00154EB4" w:rsidRDefault="00154EB4" w:rsidP="0031527F">
            <w:pPr>
              <w:pStyle w:val="a5"/>
              <w:jc w:val="left"/>
            </w:pPr>
            <w:r>
              <w:t>с</w:t>
            </w:r>
          </w:p>
          <w:p w:rsidR="00154EB4" w:rsidRDefault="00154EB4" w:rsidP="0031527F">
            <w:pPr>
              <w:pStyle w:val="a5"/>
              <w:jc w:val="left"/>
            </w:pPr>
            <w:r>
              <w:t>с</w:t>
            </w:r>
          </w:p>
          <w:p w:rsidR="00154EB4" w:rsidRDefault="00154EB4" w:rsidP="0031527F">
            <w:pPr>
              <w:pStyle w:val="a5"/>
              <w:jc w:val="left"/>
            </w:pPr>
          </w:p>
          <w:p w:rsidR="00154EB4" w:rsidRDefault="00154EB4" w:rsidP="0031527F">
            <w:pPr>
              <w:pStyle w:val="a5"/>
              <w:jc w:val="left"/>
            </w:pPr>
            <w:r>
              <w:t>с</w:t>
            </w:r>
          </w:p>
          <w:p w:rsidR="00154EB4" w:rsidRDefault="00154EB4" w:rsidP="0031527F">
            <w:pPr>
              <w:pStyle w:val="a5"/>
              <w:jc w:val="left"/>
            </w:pPr>
            <w:r>
              <w:t>с</w:t>
            </w:r>
          </w:p>
          <w:p w:rsidR="00154EB4" w:rsidRDefault="00154EB4" w:rsidP="0031527F">
            <w:pPr>
              <w:pStyle w:val="a5"/>
              <w:jc w:val="left"/>
            </w:pPr>
            <w:r>
              <w:t>с</w:t>
            </w:r>
          </w:p>
          <w:p w:rsidR="00154EB4" w:rsidRDefault="00154EB4" w:rsidP="0031527F">
            <w:pPr>
              <w:pStyle w:val="a5"/>
              <w:jc w:val="left"/>
            </w:pPr>
            <w:r>
              <w:t>с</w:t>
            </w:r>
          </w:p>
        </w:tc>
        <w:tc>
          <w:tcPr>
            <w:tcW w:w="1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p>
          <w:p w:rsidR="00154EB4" w:rsidRDefault="00154EB4" w:rsidP="0031527F">
            <w:pPr>
              <w:pStyle w:val="a5"/>
            </w:pPr>
          </w:p>
          <w:p w:rsidR="00154EB4" w:rsidRDefault="00154EB4" w:rsidP="0031527F">
            <w:pPr>
              <w:pStyle w:val="a5"/>
            </w:pPr>
            <w:r>
              <w:t>120</w:t>
            </w:r>
          </w:p>
          <w:p w:rsidR="00154EB4" w:rsidRDefault="00154EB4" w:rsidP="0031527F">
            <w:pPr>
              <w:pStyle w:val="a5"/>
            </w:pPr>
            <w:r>
              <w:t>120</w:t>
            </w:r>
          </w:p>
          <w:p w:rsidR="00154EB4" w:rsidRDefault="00154EB4" w:rsidP="0031527F">
            <w:pPr>
              <w:pStyle w:val="a5"/>
            </w:pPr>
            <w:r>
              <w:t>120</w:t>
            </w:r>
          </w:p>
          <w:p w:rsidR="00154EB4" w:rsidRDefault="00154EB4" w:rsidP="0031527F">
            <w:pPr>
              <w:pStyle w:val="a5"/>
            </w:pPr>
          </w:p>
          <w:p w:rsidR="00154EB4" w:rsidRDefault="00154EB4" w:rsidP="0031527F">
            <w:pPr>
              <w:pStyle w:val="a5"/>
            </w:pPr>
            <w:r>
              <w:t>120</w:t>
            </w:r>
          </w:p>
          <w:p w:rsidR="00154EB4" w:rsidRDefault="00154EB4" w:rsidP="0031527F">
            <w:pPr>
              <w:pStyle w:val="a5"/>
            </w:pPr>
            <w:r>
              <w:t>120</w:t>
            </w:r>
          </w:p>
          <w:p w:rsidR="00154EB4" w:rsidRDefault="00154EB4" w:rsidP="0031527F">
            <w:pPr>
              <w:pStyle w:val="a5"/>
            </w:pPr>
            <w:r>
              <w:t>120</w:t>
            </w:r>
          </w:p>
          <w:p w:rsidR="00154EB4" w:rsidRDefault="00154EB4" w:rsidP="0031527F">
            <w:pPr>
              <w:pStyle w:val="a5"/>
            </w:pPr>
            <w:r>
              <w:t>120</w:t>
            </w:r>
          </w:p>
        </w:tc>
      </w:tr>
    </w:tbl>
    <w:p w:rsidR="00154EB4" w:rsidRDefault="00154EB4" w:rsidP="00154EB4">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278"/>
        <w:gridCol w:w="4770"/>
        <w:gridCol w:w="1098"/>
        <w:gridCol w:w="1108"/>
      </w:tblGrid>
      <w:tr w:rsidR="00154EB4" w:rsidTr="0031527F">
        <w:tblPrEx>
          <w:tblCellMar>
            <w:top w:w="0" w:type="dxa"/>
            <w:left w:w="0" w:type="dxa"/>
            <w:bottom w:w="0" w:type="dxa"/>
            <w:right w:w="0" w:type="dxa"/>
          </w:tblCellMar>
        </w:tblPrEx>
        <w:trPr>
          <w:trHeight w:val="113"/>
        </w:trPr>
        <w:tc>
          <w:tcPr>
            <w:tcW w:w="2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3"/>
              <w:spacing w:line="240" w:lineRule="auto"/>
              <w:textAlignment w:val="auto"/>
              <w:rPr>
                <w:rFonts w:ascii="Cambria" w:hAnsi="Cambria" w:cs="Times New Roman"/>
                <w:color w:val="auto"/>
              </w:rPr>
            </w:pPr>
          </w:p>
        </w:tc>
        <w:tc>
          <w:tcPr>
            <w:tcW w:w="47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Процент комиссии за проведение транзакций оплаты и пополнения парковочного счета (не более):</w:t>
            </w:r>
          </w:p>
          <w:p w:rsidR="00154EB4" w:rsidRDefault="00154EB4" w:rsidP="0031527F">
            <w:pPr>
              <w:pStyle w:val="a5"/>
            </w:pPr>
            <w:r>
              <w:t>- банковская карта (</w:t>
            </w:r>
            <w:proofErr w:type="spellStart"/>
            <w:r>
              <w:t>паркомат</w:t>
            </w:r>
            <w:proofErr w:type="spellEnd"/>
            <w:r>
              <w:t>)</w:t>
            </w:r>
          </w:p>
          <w:p w:rsidR="00154EB4" w:rsidRDefault="00154EB4" w:rsidP="0031527F">
            <w:pPr>
              <w:pStyle w:val="a5"/>
            </w:pPr>
            <w:r>
              <w:t>- банковская карта (мобильное приложение)</w:t>
            </w:r>
          </w:p>
          <w:p w:rsidR="00154EB4" w:rsidRDefault="00154EB4" w:rsidP="0031527F">
            <w:pPr>
              <w:pStyle w:val="a5"/>
            </w:pPr>
            <w:r>
              <w:t>- банковская карта (веб-портал)</w:t>
            </w:r>
          </w:p>
          <w:p w:rsidR="00154EB4" w:rsidRDefault="00154EB4" w:rsidP="0031527F">
            <w:pPr>
              <w:pStyle w:val="a5"/>
            </w:pPr>
            <w:r>
              <w:t>- банковская карта (банк-клиент)</w:t>
            </w:r>
          </w:p>
          <w:p w:rsidR="00154EB4" w:rsidRDefault="00154EB4" w:rsidP="0031527F">
            <w:pPr>
              <w:pStyle w:val="a5"/>
            </w:pPr>
            <w:r>
              <w:t>- счет мобильного телефона (МТС)</w:t>
            </w:r>
          </w:p>
          <w:p w:rsidR="00154EB4" w:rsidRDefault="00154EB4" w:rsidP="0031527F">
            <w:pPr>
              <w:pStyle w:val="a5"/>
            </w:pPr>
            <w:r>
              <w:t>- счет мобильного телефона (Билайн)</w:t>
            </w:r>
          </w:p>
          <w:p w:rsidR="00154EB4" w:rsidRDefault="00154EB4" w:rsidP="0031527F">
            <w:pPr>
              <w:pStyle w:val="a5"/>
            </w:pPr>
            <w:r>
              <w:t>- счет мобильного телефона (Мегафон)</w:t>
            </w:r>
          </w:p>
          <w:p w:rsidR="00154EB4" w:rsidRDefault="00154EB4" w:rsidP="0031527F">
            <w:pPr>
              <w:pStyle w:val="a5"/>
            </w:pPr>
            <w:r>
              <w:t>- счет мобильного телефона (Теле</w:t>
            </w:r>
            <w:proofErr w:type="gramStart"/>
            <w:r>
              <w:t>2</w:t>
            </w:r>
            <w:proofErr w:type="gramEnd"/>
            <w:r>
              <w:t>)</w:t>
            </w:r>
          </w:p>
          <w:p w:rsidR="00154EB4" w:rsidRDefault="00154EB4" w:rsidP="0031527F">
            <w:pPr>
              <w:pStyle w:val="a5"/>
            </w:pPr>
            <w:r>
              <w:t>- электронные платежные системы</w:t>
            </w:r>
          </w:p>
          <w:p w:rsidR="00154EB4" w:rsidRDefault="00154EB4" w:rsidP="0031527F">
            <w:pPr>
              <w:pStyle w:val="a5"/>
            </w:pPr>
            <w:r>
              <w:t xml:space="preserve">- платежный терминал </w:t>
            </w:r>
          </w:p>
          <w:p w:rsidR="00154EB4" w:rsidRDefault="00154EB4" w:rsidP="0031527F">
            <w:pPr>
              <w:pStyle w:val="a5"/>
            </w:pPr>
            <w:r>
              <w:t>- кассы салонов связи.</w:t>
            </w:r>
          </w:p>
          <w:p w:rsidR="00154EB4" w:rsidRDefault="00154EB4" w:rsidP="0031527F">
            <w:pPr>
              <w:pStyle w:val="a5"/>
            </w:pPr>
            <w:r>
              <w:t>Средний процент комиссии за проведение транзакции оплаты и пополнения парковочного счета (не более)</w:t>
            </w:r>
          </w:p>
          <w:p w:rsidR="00154EB4" w:rsidRDefault="00154EB4" w:rsidP="0031527F">
            <w:pPr>
              <w:pStyle w:val="a5"/>
            </w:pPr>
            <w:r>
              <w:t xml:space="preserve">среднее количество </w:t>
            </w:r>
            <w:proofErr w:type="spellStart"/>
            <w:r>
              <w:t>паркоматов</w:t>
            </w:r>
            <w:proofErr w:type="spellEnd"/>
            <w:r>
              <w:t xml:space="preserve"> (</w:t>
            </w:r>
            <w:proofErr w:type="spellStart"/>
            <w:r>
              <w:t>машино</w:t>
            </w:r>
            <w:proofErr w:type="spellEnd"/>
            <w:r>
              <w:t xml:space="preserve">-мест на 1 </w:t>
            </w:r>
            <w:proofErr w:type="spellStart"/>
            <w:r>
              <w:t>паркомат</w:t>
            </w:r>
            <w:proofErr w:type="spellEnd"/>
            <w:r>
              <w:t>), не более</w:t>
            </w:r>
          </w:p>
        </w:tc>
        <w:tc>
          <w:tcPr>
            <w:tcW w:w="10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p>
          <w:p w:rsidR="00154EB4" w:rsidRDefault="00154EB4" w:rsidP="0031527F">
            <w:pPr>
              <w:pStyle w:val="a5"/>
            </w:pPr>
          </w:p>
          <w:p w:rsidR="00154EB4" w:rsidRDefault="00154EB4" w:rsidP="0031527F">
            <w:pPr>
              <w:pStyle w:val="a5"/>
            </w:pPr>
            <w:r>
              <w:t>%</w:t>
            </w:r>
          </w:p>
          <w:p w:rsidR="00154EB4" w:rsidRDefault="00154EB4" w:rsidP="0031527F">
            <w:pPr>
              <w:pStyle w:val="a5"/>
            </w:pPr>
            <w:r>
              <w:t>%</w:t>
            </w:r>
          </w:p>
          <w:p w:rsidR="00154EB4" w:rsidRDefault="00154EB4" w:rsidP="0031527F">
            <w:pPr>
              <w:pStyle w:val="a5"/>
            </w:pPr>
            <w:r>
              <w:t>%</w:t>
            </w:r>
          </w:p>
          <w:p w:rsidR="00154EB4" w:rsidRDefault="00154EB4" w:rsidP="0031527F">
            <w:pPr>
              <w:pStyle w:val="a5"/>
            </w:pPr>
            <w:r>
              <w:t>%</w:t>
            </w:r>
          </w:p>
          <w:p w:rsidR="00154EB4" w:rsidRDefault="00154EB4" w:rsidP="0031527F">
            <w:pPr>
              <w:pStyle w:val="a5"/>
            </w:pPr>
            <w:r>
              <w:t>%</w:t>
            </w:r>
          </w:p>
          <w:p w:rsidR="00154EB4" w:rsidRDefault="00154EB4" w:rsidP="0031527F">
            <w:pPr>
              <w:pStyle w:val="a5"/>
            </w:pPr>
            <w:r>
              <w:t>%</w:t>
            </w:r>
          </w:p>
          <w:p w:rsidR="00154EB4" w:rsidRDefault="00154EB4" w:rsidP="0031527F">
            <w:pPr>
              <w:pStyle w:val="a5"/>
            </w:pPr>
            <w:r>
              <w:t>%</w:t>
            </w:r>
          </w:p>
          <w:p w:rsidR="00154EB4" w:rsidRDefault="00154EB4" w:rsidP="0031527F">
            <w:pPr>
              <w:pStyle w:val="a5"/>
            </w:pPr>
            <w:r>
              <w:t>%</w:t>
            </w:r>
          </w:p>
          <w:p w:rsidR="00154EB4" w:rsidRDefault="00154EB4" w:rsidP="0031527F">
            <w:pPr>
              <w:pStyle w:val="a5"/>
            </w:pPr>
            <w:r>
              <w:t>%</w:t>
            </w:r>
          </w:p>
          <w:p w:rsidR="00154EB4" w:rsidRDefault="00154EB4" w:rsidP="0031527F">
            <w:pPr>
              <w:pStyle w:val="a5"/>
            </w:pPr>
            <w:r>
              <w:t>%</w:t>
            </w:r>
          </w:p>
          <w:p w:rsidR="00154EB4" w:rsidRDefault="00154EB4" w:rsidP="0031527F">
            <w:pPr>
              <w:pStyle w:val="a5"/>
            </w:pPr>
            <w:r>
              <w:t>%</w:t>
            </w:r>
          </w:p>
          <w:p w:rsidR="00154EB4" w:rsidRDefault="00154EB4" w:rsidP="0031527F">
            <w:pPr>
              <w:pStyle w:val="a5"/>
            </w:pPr>
          </w:p>
          <w:p w:rsidR="00154EB4" w:rsidRDefault="00154EB4" w:rsidP="0031527F">
            <w:pPr>
              <w:pStyle w:val="a5"/>
            </w:pPr>
            <w:r>
              <w:t>%</w:t>
            </w:r>
          </w:p>
          <w:p w:rsidR="00154EB4" w:rsidRDefault="00154EB4" w:rsidP="0031527F">
            <w:pPr>
              <w:pStyle w:val="a5"/>
            </w:pPr>
          </w:p>
          <w:p w:rsidR="00154EB4" w:rsidRDefault="00154EB4" w:rsidP="0031527F">
            <w:pPr>
              <w:pStyle w:val="a5"/>
            </w:pPr>
            <w:proofErr w:type="gramStart"/>
            <w:r>
              <w:t>м</w:t>
            </w:r>
            <w:proofErr w:type="gramEnd"/>
            <w:r>
              <w:t>/м</w:t>
            </w:r>
          </w:p>
        </w:tc>
        <w:tc>
          <w:tcPr>
            <w:tcW w:w="11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p>
          <w:p w:rsidR="00154EB4" w:rsidRDefault="00154EB4" w:rsidP="0031527F">
            <w:pPr>
              <w:pStyle w:val="a5"/>
            </w:pPr>
          </w:p>
          <w:p w:rsidR="00154EB4" w:rsidRDefault="00154EB4" w:rsidP="0031527F">
            <w:pPr>
              <w:pStyle w:val="a5"/>
            </w:pPr>
            <w:r>
              <w:t>3,5</w:t>
            </w:r>
          </w:p>
          <w:p w:rsidR="00154EB4" w:rsidRDefault="00154EB4" w:rsidP="0031527F">
            <w:pPr>
              <w:pStyle w:val="a5"/>
            </w:pPr>
            <w:r>
              <w:t>3,5</w:t>
            </w:r>
          </w:p>
          <w:p w:rsidR="00154EB4" w:rsidRDefault="00154EB4" w:rsidP="0031527F">
            <w:pPr>
              <w:pStyle w:val="a5"/>
            </w:pPr>
            <w:r>
              <w:t>3,5</w:t>
            </w:r>
          </w:p>
          <w:p w:rsidR="00154EB4" w:rsidRDefault="00154EB4" w:rsidP="0031527F">
            <w:pPr>
              <w:pStyle w:val="a5"/>
            </w:pPr>
            <w:r>
              <w:t xml:space="preserve">5,5 </w:t>
            </w:r>
          </w:p>
          <w:p w:rsidR="00154EB4" w:rsidRDefault="00154EB4" w:rsidP="0031527F">
            <w:pPr>
              <w:pStyle w:val="a5"/>
            </w:pPr>
            <w:r>
              <w:t xml:space="preserve">8 </w:t>
            </w:r>
          </w:p>
          <w:p w:rsidR="00154EB4" w:rsidRDefault="00154EB4" w:rsidP="0031527F">
            <w:pPr>
              <w:pStyle w:val="a5"/>
            </w:pPr>
            <w:r>
              <w:t xml:space="preserve">5 </w:t>
            </w:r>
          </w:p>
          <w:p w:rsidR="00154EB4" w:rsidRDefault="00154EB4" w:rsidP="0031527F">
            <w:pPr>
              <w:pStyle w:val="a5"/>
            </w:pPr>
            <w:r>
              <w:t xml:space="preserve">8 </w:t>
            </w:r>
          </w:p>
          <w:p w:rsidR="00154EB4" w:rsidRDefault="00154EB4" w:rsidP="0031527F">
            <w:pPr>
              <w:pStyle w:val="a5"/>
            </w:pPr>
            <w:r>
              <w:t>7</w:t>
            </w:r>
          </w:p>
          <w:p w:rsidR="00154EB4" w:rsidRDefault="00154EB4" w:rsidP="0031527F">
            <w:pPr>
              <w:pStyle w:val="a5"/>
            </w:pPr>
            <w:r>
              <w:t>5,5</w:t>
            </w:r>
          </w:p>
          <w:p w:rsidR="00154EB4" w:rsidRDefault="00154EB4" w:rsidP="0031527F">
            <w:pPr>
              <w:pStyle w:val="a5"/>
            </w:pPr>
            <w:r>
              <w:t>3,0</w:t>
            </w:r>
          </w:p>
          <w:p w:rsidR="00154EB4" w:rsidRDefault="00154EB4" w:rsidP="0031527F">
            <w:pPr>
              <w:pStyle w:val="a5"/>
            </w:pPr>
            <w:r>
              <w:t>5,0</w:t>
            </w:r>
          </w:p>
          <w:p w:rsidR="00154EB4" w:rsidRDefault="00154EB4" w:rsidP="0031527F">
            <w:pPr>
              <w:pStyle w:val="a5"/>
            </w:pPr>
          </w:p>
          <w:p w:rsidR="00154EB4" w:rsidRDefault="00154EB4" w:rsidP="0031527F">
            <w:pPr>
              <w:pStyle w:val="a5"/>
            </w:pPr>
            <w:r>
              <w:t>6</w:t>
            </w:r>
          </w:p>
          <w:p w:rsidR="00154EB4" w:rsidRDefault="00154EB4" w:rsidP="0031527F">
            <w:pPr>
              <w:pStyle w:val="a5"/>
            </w:pPr>
          </w:p>
          <w:p w:rsidR="00154EB4" w:rsidRDefault="00154EB4" w:rsidP="0031527F">
            <w:pPr>
              <w:pStyle w:val="a5"/>
            </w:pPr>
            <w:r>
              <w:t>45</w:t>
            </w:r>
          </w:p>
        </w:tc>
      </w:tr>
      <w:tr w:rsidR="00154EB4" w:rsidTr="0031527F">
        <w:tblPrEx>
          <w:tblCellMar>
            <w:top w:w="0" w:type="dxa"/>
            <w:left w:w="0" w:type="dxa"/>
            <w:bottom w:w="0" w:type="dxa"/>
            <w:right w:w="0" w:type="dxa"/>
          </w:tblCellMar>
        </w:tblPrEx>
        <w:trPr>
          <w:trHeight w:val="113"/>
        </w:trPr>
        <w:tc>
          <w:tcPr>
            <w:tcW w:w="2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9</w:t>
            </w:r>
          </w:p>
        </w:tc>
        <w:tc>
          <w:tcPr>
            <w:tcW w:w="47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Система информирования.</w:t>
            </w:r>
          </w:p>
          <w:p w:rsidR="00154EB4" w:rsidRDefault="00154EB4" w:rsidP="0031527F">
            <w:pPr>
              <w:pStyle w:val="a5"/>
            </w:pPr>
            <w:r>
              <w:t>Среднее количество информационных щитов на территории парковки (</w:t>
            </w:r>
            <w:proofErr w:type="spellStart"/>
            <w:r>
              <w:t>машино</w:t>
            </w:r>
            <w:proofErr w:type="spellEnd"/>
            <w:r>
              <w:t>-мест на 1 щит), не более</w:t>
            </w:r>
          </w:p>
        </w:tc>
        <w:tc>
          <w:tcPr>
            <w:tcW w:w="10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p>
          <w:p w:rsidR="00154EB4" w:rsidRDefault="00154EB4" w:rsidP="0031527F">
            <w:pPr>
              <w:pStyle w:val="a5"/>
            </w:pPr>
            <w:proofErr w:type="gramStart"/>
            <w:r>
              <w:t>м</w:t>
            </w:r>
            <w:proofErr w:type="gramEnd"/>
            <w:r>
              <w:t>/м</w:t>
            </w:r>
          </w:p>
        </w:tc>
        <w:tc>
          <w:tcPr>
            <w:tcW w:w="11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p>
          <w:p w:rsidR="00154EB4" w:rsidRDefault="00154EB4" w:rsidP="0031527F">
            <w:pPr>
              <w:pStyle w:val="a5"/>
            </w:pPr>
            <w:r>
              <w:t>8</w:t>
            </w:r>
          </w:p>
        </w:tc>
      </w:tr>
      <w:tr w:rsidR="00154EB4" w:rsidTr="0031527F">
        <w:tblPrEx>
          <w:tblCellMar>
            <w:top w:w="0" w:type="dxa"/>
            <w:left w:w="0" w:type="dxa"/>
            <w:bottom w:w="0" w:type="dxa"/>
            <w:right w:w="0" w:type="dxa"/>
          </w:tblCellMar>
        </w:tblPrEx>
        <w:trPr>
          <w:trHeight w:val="113"/>
        </w:trPr>
        <w:tc>
          <w:tcPr>
            <w:tcW w:w="2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10</w:t>
            </w:r>
          </w:p>
        </w:tc>
        <w:tc>
          <w:tcPr>
            <w:tcW w:w="47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Система администрирования.</w:t>
            </w:r>
          </w:p>
          <w:p w:rsidR="00154EB4" w:rsidRDefault="00154EB4" w:rsidP="0031527F">
            <w:pPr>
              <w:pStyle w:val="a5"/>
            </w:pPr>
            <w:r>
              <w:t xml:space="preserve">Время проверки оплаты комплексом </w:t>
            </w:r>
            <w:proofErr w:type="spellStart"/>
            <w:r>
              <w:t>фото­видеофиксации</w:t>
            </w:r>
            <w:proofErr w:type="spellEnd"/>
            <w:r>
              <w:t xml:space="preserve"> (секунд на 1 автомобиль), установленном на борту автомобиля (МКФ), не более</w:t>
            </w:r>
          </w:p>
          <w:p w:rsidR="00154EB4" w:rsidRDefault="00154EB4" w:rsidP="0031527F">
            <w:pPr>
              <w:pStyle w:val="a5"/>
            </w:pPr>
            <w:r>
              <w:t xml:space="preserve">Точность распознавания автомобильных номеров мобильными комплексами </w:t>
            </w:r>
            <w:proofErr w:type="spellStart"/>
            <w:r>
              <w:t>фото­видеофиксации</w:t>
            </w:r>
            <w:proofErr w:type="spellEnd"/>
            <w:r>
              <w:t>, не менее</w:t>
            </w:r>
          </w:p>
          <w:p w:rsidR="00154EB4" w:rsidRDefault="00154EB4" w:rsidP="0031527F">
            <w:pPr>
              <w:pStyle w:val="a5"/>
            </w:pPr>
            <w:r>
              <w:lastRenderedPageBreak/>
              <w:t>Время проверки оплаты портативным комплексом фото-</w:t>
            </w:r>
            <w:proofErr w:type="spellStart"/>
            <w:r>
              <w:t>видеофиксации</w:t>
            </w:r>
            <w:proofErr w:type="spellEnd"/>
            <w:r>
              <w:t xml:space="preserve"> (ПКФ) (секунд на 1 автомобиль), не более</w:t>
            </w:r>
          </w:p>
          <w:p w:rsidR="00154EB4" w:rsidRDefault="00154EB4" w:rsidP="0031527F">
            <w:pPr>
              <w:pStyle w:val="a5"/>
            </w:pPr>
            <w:r>
              <w:t xml:space="preserve">Количество </w:t>
            </w:r>
            <w:proofErr w:type="spellStart"/>
            <w:r>
              <w:t>машино</w:t>
            </w:r>
            <w:proofErr w:type="spellEnd"/>
            <w:r>
              <w:t xml:space="preserve">-мест на одного инспектора с портативным комплексом </w:t>
            </w:r>
            <w:proofErr w:type="spellStart"/>
            <w:r>
              <w:t>фото­видеофиксации</w:t>
            </w:r>
            <w:proofErr w:type="spellEnd"/>
            <w:r>
              <w:t xml:space="preserve"> при односменной работе, не менее</w:t>
            </w:r>
          </w:p>
        </w:tc>
        <w:tc>
          <w:tcPr>
            <w:tcW w:w="10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p>
          <w:p w:rsidR="00154EB4" w:rsidRDefault="00154EB4" w:rsidP="0031527F">
            <w:pPr>
              <w:pStyle w:val="a5"/>
            </w:pPr>
          </w:p>
          <w:p w:rsidR="00154EB4" w:rsidRDefault="00154EB4" w:rsidP="0031527F">
            <w:pPr>
              <w:pStyle w:val="a5"/>
            </w:pPr>
          </w:p>
          <w:p w:rsidR="00154EB4" w:rsidRDefault="00154EB4" w:rsidP="0031527F">
            <w:pPr>
              <w:pStyle w:val="a5"/>
            </w:pPr>
            <w:r>
              <w:t>сек</w:t>
            </w:r>
          </w:p>
          <w:p w:rsidR="00154EB4" w:rsidRDefault="00154EB4" w:rsidP="0031527F">
            <w:pPr>
              <w:pStyle w:val="a5"/>
            </w:pPr>
          </w:p>
          <w:p w:rsidR="00154EB4" w:rsidRDefault="00154EB4" w:rsidP="0031527F">
            <w:pPr>
              <w:pStyle w:val="a5"/>
            </w:pPr>
            <w:r>
              <w:t>%</w:t>
            </w:r>
          </w:p>
          <w:p w:rsidR="00154EB4" w:rsidRDefault="00154EB4" w:rsidP="0031527F">
            <w:pPr>
              <w:pStyle w:val="a5"/>
            </w:pPr>
          </w:p>
          <w:p w:rsidR="00154EB4" w:rsidRDefault="00154EB4" w:rsidP="0031527F">
            <w:pPr>
              <w:pStyle w:val="a5"/>
            </w:pPr>
            <w:r>
              <w:t>сек</w:t>
            </w:r>
          </w:p>
          <w:p w:rsidR="00154EB4" w:rsidRDefault="00154EB4" w:rsidP="0031527F">
            <w:pPr>
              <w:pStyle w:val="a5"/>
            </w:pPr>
          </w:p>
          <w:p w:rsidR="00154EB4" w:rsidRDefault="00154EB4" w:rsidP="0031527F">
            <w:pPr>
              <w:pStyle w:val="a5"/>
            </w:pPr>
          </w:p>
          <w:p w:rsidR="00154EB4" w:rsidRDefault="00154EB4" w:rsidP="0031527F">
            <w:pPr>
              <w:pStyle w:val="a5"/>
            </w:pPr>
            <w:proofErr w:type="gramStart"/>
            <w:r>
              <w:t>м</w:t>
            </w:r>
            <w:proofErr w:type="gramEnd"/>
            <w:r>
              <w:t>/м</w:t>
            </w:r>
          </w:p>
        </w:tc>
        <w:tc>
          <w:tcPr>
            <w:tcW w:w="11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p>
          <w:p w:rsidR="00154EB4" w:rsidRDefault="00154EB4" w:rsidP="0031527F">
            <w:pPr>
              <w:pStyle w:val="a5"/>
            </w:pPr>
          </w:p>
          <w:p w:rsidR="00154EB4" w:rsidRDefault="00154EB4" w:rsidP="0031527F">
            <w:pPr>
              <w:pStyle w:val="a5"/>
            </w:pPr>
          </w:p>
          <w:p w:rsidR="00154EB4" w:rsidRDefault="00154EB4" w:rsidP="0031527F">
            <w:pPr>
              <w:pStyle w:val="a5"/>
            </w:pPr>
            <w:r>
              <w:t>40</w:t>
            </w:r>
          </w:p>
          <w:p w:rsidR="00154EB4" w:rsidRDefault="00154EB4" w:rsidP="0031527F">
            <w:pPr>
              <w:pStyle w:val="a5"/>
            </w:pPr>
          </w:p>
          <w:p w:rsidR="00154EB4" w:rsidRDefault="00154EB4" w:rsidP="0031527F">
            <w:pPr>
              <w:pStyle w:val="a5"/>
            </w:pPr>
            <w:r>
              <w:t>90</w:t>
            </w:r>
          </w:p>
          <w:p w:rsidR="00154EB4" w:rsidRDefault="00154EB4" w:rsidP="0031527F">
            <w:pPr>
              <w:pStyle w:val="a5"/>
            </w:pPr>
          </w:p>
          <w:p w:rsidR="00154EB4" w:rsidRDefault="00154EB4" w:rsidP="0031527F">
            <w:pPr>
              <w:pStyle w:val="a5"/>
            </w:pPr>
            <w:r>
              <w:t>50</w:t>
            </w:r>
          </w:p>
          <w:p w:rsidR="00154EB4" w:rsidRDefault="00154EB4" w:rsidP="0031527F">
            <w:pPr>
              <w:pStyle w:val="a5"/>
            </w:pPr>
          </w:p>
          <w:p w:rsidR="00154EB4" w:rsidRDefault="00154EB4" w:rsidP="0031527F">
            <w:pPr>
              <w:pStyle w:val="a5"/>
            </w:pPr>
          </w:p>
          <w:p w:rsidR="00154EB4" w:rsidRDefault="00154EB4" w:rsidP="0031527F">
            <w:pPr>
              <w:pStyle w:val="a5"/>
            </w:pPr>
            <w:r>
              <w:t>100</w:t>
            </w:r>
          </w:p>
        </w:tc>
      </w:tr>
      <w:tr w:rsidR="00154EB4" w:rsidTr="0031527F">
        <w:tblPrEx>
          <w:tblCellMar>
            <w:top w:w="0" w:type="dxa"/>
            <w:left w:w="0" w:type="dxa"/>
            <w:bottom w:w="0" w:type="dxa"/>
            <w:right w:w="0" w:type="dxa"/>
          </w:tblCellMar>
        </w:tblPrEx>
        <w:trPr>
          <w:trHeight w:val="113"/>
        </w:trPr>
        <w:tc>
          <w:tcPr>
            <w:tcW w:w="2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lastRenderedPageBreak/>
              <w:t>11</w:t>
            </w:r>
          </w:p>
        </w:tc>
        <w:tc>
          <w:tcPr>
            <w:tcW w:w="47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 xml:space="preserve">Количество мобильных комплексов </w:t>
            </w:r>
            <w:proofErr w:type="spellStart"/>
            <w:r>
              <w:t>фото­видеофиксации</w:t>
            </w:r>
            <w:proofErr w:type="spellEnd"/>
            <w:r>
              <w:t>, установленных на борту автомобиля, не менее</w:t>
            </w:r>
          </w:p>
        </w:tc>
        <w:tc>
          <w:tcPr>
            <w:tcW w:w="10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 xml:space="preserve">ед. </w:t>
            </w:r>
          </w:p>
        </w:tc>
        <w:tc>
          <w:tcPr>
            <w:tcW w:w="11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не менее 5</w:t>
            </w:r>
          </w:p>
        </w:tc>
      </w:tr>
      <w:tr w:rsidR="00154EB4" w:rsidTr="0031527F">
        <w:tblPrEx>
          <w:tblCellMar>
            <w:top w:w="0" w:type="dxa"/>
            <w:left w:w="0" w:type="dxa"/>
            <w:bottom w:w="0" w:type="dxa"/>
            <w:right w:w="0" w:type="dxa"/>
          </w:tblCellMar>
        </w:tblPrEx>
        <w:trPr>
          <w:trHeight w:val="113"/>
        </w:trPr>
        <w:tc>
          <w:tcPr>
            <w:tcW w:w="2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12</w:t>
            </w:r>
          </w:p>
        </w:tc>
        <w:tc>
          <w:tcPr>
            <w:tcW w:w="477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 xml:space="preserve">Количество портативных комплексов </w:t>
            </w:r>
            <w:proofErr w:type="spellStart"/>
            <w:r>
              <w:t>фото­видеофиксации</w:t>
            </w:r>
            <w:proofErr w:type="spellEnd"/>
            <w:r>
              <w:t>, не менее</w:t>
            </w:r>
          </w:p>
        </w:tc>
        <w:tc>
          <w:tcPr>
            <w:tcW w:w="10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 xml:space="preserve">ед. </w:t>
            </w:r>
          </w:p>
        </w:tc>
        <w:tc>
          <w:tcPr>
            <w:tcW w:w="110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не менее 6</w:t>
            </w:r>
          </w:p>
        </w:tc>
      </w:tr>
    </w:tbl>
    <w:p w:rsidR="00154EB4" w:rsidRDefault="00154EB4" w:rsidP="00154EB4">
      <w:pPr>
        <w:pStyle w:val="a4"/>
        <w:rPr>
          <w:sz w:val="20"/>
          <w:szCs w:val="20"/>
        </w:rPr>
      </w:pPr>
    </w:p>
    <w:p w:rsidR="00154EB4" w:rsidRDefault="00154EB4" w:rsidP="00154EB4">
      <w:pPr>
        <w:pStyle w:val="a6"/>
        <w:spacing w:before="57"/>
      </w:pPr>
      <w:r>
        <w:rPr>
          <w:vertAlign w:val="superscript"/>
        </w:rPr>
        <w:t>1</w:t>
      </w:r>
      <w:proofErr w:type="gramStart"/>
      <w:r>
        <w:rPr>
          <w:vertAlign w:val="superscript"/>
        </w:rPr>
        <w:t xml:space="preserve"> </w:t>
      </w:r>
      <w:r>
        <w:t>У</w:t>
      </w:r>
      <w:proofErr w:type="gramEnd"/>
      <w:r>
        <w:t>точняется при создании и согласовании проектов организации дорожного движения (ПОДД).</w:t>
      </w:r>
    </w:p>
    <w:p w:rsidR="00154EB4" w:rsidRDefault="00154EB4" w:rsidP="00154EB4">
      <w:pPr>
        <w:pStyle w:val="a6"/>
        <w:spacing w:before="57"/>
      </w:pPr>
    </w:p>
    <w:p w:rsidR="00154EB4" w:rsidRDefault="00154EB4" w:rsidP="00154EB4">
      <w:pPr>
        <w:pStyle w:val="a4"/>
        <w:ind w:left="2835" w:firstLine="0"/>
      </w:pPr>
      <w:r>
        <w:t xml:space="preserve">Приложение 2 к распоряжению администрации </w:t>
      </w:r>
    </w:p>
    <w:p w:rsidR="00154EB4" w:rsidRDefault="00154EB4" w:rsidP="00154EB4">
      <w:pPr>
        <w:pStyle w:val="a4"/>
        <w:ind w:left="2835" w:firstLine="0"/>
      </w:pPr>
      <w:r>
        <w:t>муниципального образования «Город Астрахань»</w:t>
      </w:r>
    </w:p>
    <w:p w:rsidR="00154EB4" w:rsidRDefault="00154EB4" w:rsidP="00154EB4">
      <w:pPr>
        <w:pStyle w:val="a4"/>
        <w:ind w:left="2835" w:firstLine="0"/>
      </w:pPr>
      <w:r>
        <w:t>от 22.08.2018 № 3776-р</w:t>
      </w:r>
    </w:p>
    <w:p w:rsidR="00154EB4" w:rsidRDefault="00154EB4" w:rsidP="00154EB4">
      <w:pPr>
        <w:pStyle w:val="3"/>
      </w:pPr>
      <w:r>
        <w:t>Условия концессионного соглашения о создании и эксплуатации</w:t>
      </w:r>
    </w:p>
    <w:p w:rsidR="00154EB4" w:rsidRDefault="00154EB4" w:rsidP="00154EB4">
      <w:pPr>
        <w:pStyle w:val="3"/>
      </w:pPr>
      <w:r>
        <w:t xml:space="preserve">системы платных парковок на автомобильных дорогах </w:t>
      </w:r>
    </w:p>
    <w:p w:rsidR="00154EB4" w:rsidRDefault="00154EB4" w:rsidP="00154EB4">
      <w:pPr>
        <w:pStyle w:val="3"/>
      </w:pPr>
      <w:r>
        <w:t xml:space="preserve">общего пользования местного значения </w:t>
      </w:r>
    </w:p>
    <w:p w:rsidR="00154EB4" w:rsidRDefault="00154EB4" w:rsidP="00154EB4">
      <w:pPr>
        <w:pStyle w:val="3"/>
      </w:pPr>
      <w:r>
        <w:t>муниципального образования «Город Астрахань»</w:t>
      </w:r>
    </w:p>
    <w:p w:rsidR="00154EB4" w:rsidRDefault="00154EB4" w:rsidP="00154EB4">
      <w:pPr>
        <w:pStyle w:val="a4"/>
        <w:spacing w:before="57"/>
      </w:pPr>
      <w:r>
        <w:t>Термины и определения в настоящем приложении применяются в значениях, предусмотренных конкурсной документацией, если не указано иное.</w:t>
      </w:r>
    </w:p>
    <w:p w:rsidR="00154EB4" w:rsidRDefault="00154EB4" w:rsidP="00154EB4">
      <w:pPr>
        <w:pStyle w:val="a4"/>
      </w:pPr>
      <w:r>
        <w:t>Существенные условия концессионного соглашения в соответствии с требованиями статьи 10 Федерального закона «О концессионных соглашениях».</w:t>
      </w:r>
    </w:p>
    <w:p w:rsidR="00154EB4" w:rsidRDefault="00154EB4" w:rsidP="00154EB4">
      <w:pPr>
        <w:pStyle w:val="a4"/>
      </w:pPr>
      <w:r>
        <w:t>1. Обязательства Концессионера по созданию объекта концессионного соглашения, соблюдению сроков его создания.</w:t>
      </w:r>
    </w:p>
    <w:p w:rsidR="00154EB4" w:rsidRDefault="00154EB4" w:rsidP="00154EB4">
      <w:pPr>
        <w:pStyle w:val="a4"/>
      </w:pPr>
      <w:r>
        <w:t xml:space="preserve">1.1. Концессионер обязуется за свой счет создать движимое имущество и реконструировать недвижимое имущество, представляющие собой систему платных парковок на автомобильных дорогах общего пользования местного значения муниципального образования «Город Астрахань» (далее - Объект концессионного соглашения), право </w:t>
      </w:r>
      <w:proofErr w:type="gramStart"/>
      <w:r>
        <w:t>собственности</w:t>
      </w:r>
      <w:proofErr w:type="gramEnd"/>
      <w:r>
        <w:t xml:space="preserve"> на которые будет принадлежать </w:t>
      </w:r>
      <w:proofErr w:type="spellStart"/>
      <w:r>
        <w:t>Концеденту</w:t>
      </w:r>
      <w:proofErr w:type="spellEnd"/>
      <w:r>
        <w:t xml:space="preserve">, и осуществлять деятельность с использованием (эксплуатацией) Объекта концессионного соглашения, а </w:t>
      </w:r>
      <w:proofErr w:type="spellStart"/>
      <w:r>
        <w:t>Концедент</w:t>
      </w:r>
      <w:proofErr w:type="spellEnd"/>
      <w:r>
        <w:t xml:space="preserve"> обязуется предоставить Концессионеру на срок, установленный концессионным соглашением, права владения и пользования Объектом концессионного соглашения для осуществления указанной деятельности.</w:t>
      </w:r>
    </w:p>
    <w:p w:rsidR="00154EB4" w:rsidRDefault="00154EB4" w:rsidP="00154EB4">
      <w:pPr>
        <w:pStyle w:val="a4"/>
      </w:pPr>
      <w:r>
        <w:t xml:space="preserve">1.2. </w:t>
      </w:r>
      <w:proofErr w:type="gramStart"/>
      <w:r>
        <w:t>Концессионер осуществляет проектирование и создание Объекта концессионного соглашения в соответствии с действующим законодательством Российской Федерации, на основании Федерального закона Российской Федерации «Об автомобильных дорогах и дорожной деятельности в Российской Федерации и о внесении изменений в отдельные законодательные акты Российской Федерации», Федерального закона Российской Федерации «О безопасности дорожного движения», постановления администрации муниципального образования «Город Астрахань» от 07.11.2016 № 7643 «Об утверждении Порядка</w:t>
      </w:r>
      <w:proofErr w:type="gramEnd"/>
      <w:r>
        <w:t xml:space="preserve"> создания и использования, в том числе на платной основе, парковок (парковочных мест), расположенных на автомобильных дорогах общего пользования местного значения муниципального образования «Город Астрахань», установленных концессионным соглашением технико-экономических показателей и характеристик Объекта концессионного соглашения с обеспечением требований безопасности дорожного движения путем:</w:t>
      </w:r>
    </w:p>
    <w:p w:rsidR="00154EB4" w:rsidRDefault="00154EB4" w:rsidP="00154EB4">
      <w:pPr>
        <w:pStyle w:val="a4"/>
      </w:pPr>
      <w:r>
        <w:t>а) натурального обследования автомобильных дорог города с целью выявления мест скопления транспортных средств, определения количества стоящих транспортных средств, способов постановки на стоянку, среднего времени и периодичности стоянки, определения границ парковочного пространства;</w:t>
      </w:r>
    </w:p>
    <w:p w:rsidR="00154EB4" w:rsidRDefault="00154EB4" w:rsidP="00154EB4">
      <w:pPr>
        <w:pStyle w:val="a4"/>
      </w:pPr>
      <w:r>
        <w:t>б) проведения анализа существующей градостроительной и планировочной ситуации, определения функционального назначения объектов и параметров уличной сети;</w:t>
      </w:r>
    </w:p>
    <w:p w:rsidR="00154EB4" w:rsidRDefault="00154EB4" w:rsidP="00154EB4">
      <w:pPr>
        <w:pStyle w:val="a4"/>
      </w:pPr>
      <w:r>
        <w:t>в) проведения замеров транспортных потоков, определения пропускной способности дороги с целью установления возможности размещения на ней парковки;</w:t>
      </w:r>
    </w:p>
    <w:p w:rsidR="00154EB4" w:rsidRDefault="00154EB4" w:rsidP="00154EB4">
      <w:pPr>
        <w:pStyle w:val="a4"/>
      </w:pPr>
      <w:r>
        <w:t>г) проектирования на топографическом плане предложений по расстановке автотранспортных средств с учетом безопасности движения и пропускной способности дороги;</w:t>
      </w:r>
    </w:p>
    <w:p w:rsidR="00154EB4" w:rsidRDefault="00154EB4" w:rsidP="00154EB4">
      <w:pPr>
        <w:pStyle w:val="a4"/>
      </w:pPr>
      <w:r>
        <w:t>д) разработки проекта схемы дислокации улично-дорожной сети.</w:t>
      </w:r>
    </w:p>
    <w:p w:rsidR="00154EB4" w:rsidRDefault="00154EB4" w:rsidP="00154EB4">
      <w:pPr>
        <w:pStyle w:val="a4"/>
      </w:pPr>
      <w:r>
        <w:t>2. Обязательства Концессионера по осуществлению деятельности, предусмотренной концессионным соглашением и иные обязательства Сторон.</w:t>
      </w:r>
    </w:p>
    <w:p w:rsidR="00154EB4" w:rsidRDefault="00154EB4" w:rsidP="00154EB4">
      <w:pPr>
        <w:pStyle w:val="a4"/>
      </w:pPr>
      <w:r>
        <w:t xml:space="preserve">2.1. </w:t>
      </w:r>
      <w:proofErr w:type="gramStart"/>
      <w:r>
        <w:t>Эксплуатация Объекта концессионного соглашения включает комплекс работ по использованию объекта концессионного соглашения в целях осуществления деятельности, предусмотренной концессионным соглашением, в порядке и на условиях, которые определены концессионным соглашением, в том числе работ по обеспечению качества функционирования Объекта концессионного соглашения, техническое обслуживание, ремонт, а также техническое сопровождение программного обеспечения Объекта концессионного соглашения.</w:t>
      </w:r>
      <w:proofErr w:type="gramEnd"/>
    </w:p>
    <w:p w:rsidR="00154EB4" w:rsidRDefault="00154EB4" w:rsidP="00154EB4">
      <w:pPr>
        <w:pStyle w:val="a4"/>
      </w:pPr>
      <w:r>
        <w:t xml:space="preserve">2.2. Концессионер вправе при осуществлении деятельности с использованием (эксплуатацией) Объекта концессионного соглашения по согласованию с </w:t>
      </w:r>
      <w:proofErr w:type="spellStart"/>
      <w:r>
        <w:t>Концедентом</w:t>
      </w:r>
      <w:proofErr w:type="spellEnd"/>
      <w:r>
        <w:t xml:space="preserve"> заключать с третьими лицами договоры на выполнение работ, оказание услуг для достижения целей и решения задач создания и использования Объекта концессионного соглашения.</w:t>
      </w:r>
    </w:p>
    <w:p w:rsidR="00154EB4" w:rsidRDefault="00154EB4" w:rsidP="00154EB4">
      <w:pPr>
        <w:pStyle w:val="a4"/>
      </w:pPr>
      <w:r>
        <w:t>Концессионное соглашение предусматривает следующие основные стадии исполнения обязатель</w:t>
      </w:r>
      <w:proofErr w:type="gramStart"/>
      <w:r>
        <w:t>ств ст</w:t>
      </w:r>
      <w:proofErr w:type="gramEnd"/>
      <w:r>
        <w:t>орон концессионного соглашения:</w:t>
      </w:r>
    </w:p>
    <w:p w:rsidR="00154EB4" w:rsidRDefault="00154EB4" w:rsidP="00154EB4">
      <w:pPr>
        <w:pStyle w:val="a4"/>
      </w:pPr>
      <w:r>
        <w:lastRenderedPageBreak/>
        <w:t xml:space="preserve">• инвестиционную стадию - реализация концессионного </w:t>
      </w:r>
      <w:proofErr w:type="gramStart"/>
      <w:r>
        <w:t>соглашения</w:t>
      </w:r>
      <w:proofErr w:type="gramEnd"/>
      <w:r>
        <w:t xml:space="preserve"> в период начиная с даты заключения Концессионного соглашения до даты ввода последнего из объектов имущества в составе Объекта в эксплуатацию (дата начала эксплуатационной стадии), на которой осуществляется создание Объекта;</w:t>
      </w:r>
    </w:p>
    <w:p w:rsidR="00154EB4" w:rsidRDefault="00154EB4" w:rsidP="00154EB4">
      <w:pPr>
        <w:pStyle w:val="a4"/>
      </w:pPr>
      <w:r>
        <w:t xml:space="preserve">• эксплуатационную стадию - реализация концессионного </w:t>
      </w:r>
      <w:proofErr w:type="gramStart"/>
      <w:r>
        <w:t>соглашения</w:t>
      </w:r>
      <w:proofErr w:type="gramEnd"/>
      <w:r>
        <w:t xml:space="preserve"> начиная с момента окончания инвестиционной стадии до даты прекращения концессионного соглашения, на которой Концессионер осуществляет деятельность, предусмотренную концессионным соглашением. </w:t>
      </w:r>
    </w:p>
    <w:p w:rsidR="00154EB4" w:rsidRDefault="00154EB4" w:rsidP="00154EB4">
      <w:pPr>
        <w:pStyle w:val="a4"/>
      </w:pPr>
      <w:r>
        <w:t>Объект концессионного соглашения создается и вводится в эксплуатацию в три этапа.</w:t>
      </w:r>
    </w:p>
    <w:p w:rsidR="00154EB4" w:rsidRDefault="00154EB4" w:rsidP="00154EB4">
      <w:pPr>
        <w:pStyle w:val="a4"/>
      </w:pPr>
      <w:r>
        <w:t xml:space="preserve">2.3. </w:t>
      </w:r>
      <w:proofErr w:type="gramStart"/>
      <w:r>
        <w:t xml:space="preserve">Первый этап включает реконструкцию нежилого помещения Единого диспетчерского центра в соответствии с разработанным проектом и создание функциональных зон ЕДЦ, создание и ввод в эксплуатацию </w:t>
      </w:r>
      <w:proofErr w:type="spellStart"/>
      <w:r>
        <w:t>Web</w:t>
      </w:r>
      <w:proofErr w:type="spellEnd"/>
      <w:r>
        <w:t>-портала и мобильного приложения, создание и ввод в эксплуатацию движимого имущества, представляющего собой систему платных парковок на автомобильных дорогах общего пользования местного значения муниципального образования «Город Астрахань», расположенных в пределах платной зоны № 1.</w:t>
      </w:r>
      <w:proofErr w:type="gramEnd"/>
    </w:p>
    <w:p w:rsidR="00154EB4" w:rsidRDefault="00154EB4" w:rsidP="00154EB4">
      <w:pPr>
        <w:pStyle w:val="a4"/>
      </w:pPr>
      <w:r>
        <w:t xml:space="preserve">Срок ввода в эксплуатацию первого этапа - в течение 5 месяцев </w:t>
      </w:r>
      <w:proofErr w:type="gramStart"/>
      <w:r>
        <w:t>с даты заключения</w:t>
      </w:r>
      <w:proofErr w:type="gramEnd"/>
      <w:r>
        <w:t xml:space="preserve"> концессионного соглашения.</w:t>
      </w:r>
    </w:p>
    <w:p w:rsidR="00154EB4" w:rsidRDefault="00154EB4" w:rsidP="00154EB4">
      <w:pPr>
        <w:pStyle w:val="a4"/>
      </w:pPr>
      <w:r>
        <w:t>2.4. Второй этап включает создание и ввод в эксплуатацию движимого имущества, представляющего собой систему платных парковок на автомобильных дорогах общего пользования местного значения муниципального образования «Город Астрахань», расположенных в пределах платной зоны № 2.</w:t>
      </w:r>
    </w:p>
    <w:p w:rsidR="00154EB4" w:rsidRDefault="00154EB4" w:rsidP="00154EB4">
      <w:pPr>
        <w:pStyle w:val="a4"/>
      </w:pPr>
      <w:r>
        <w:t xml:space="preserve">2.5. Срок ввода в эксплуатацию второго этапа - в течение 8 месяцев </w:t>
      </w:r>
      <w:proofErr w:type="gramStart"/>
      <w:r>
        <w:t>с даты заключения</w:t>
      </w:r>
      <w:proofErr w:type="gramEnd"/>
      <w:r>
        <w:t xml:space="preserve"> концессионного соглашения.</w:t>
      </w:r>
    </w:p>
    <w:p w:rsidR="00154EB4" w:rsidRDefault="00154EB4" w:rsidP="00154EB4">
      <w:pPr>
        <w:pStyle w:val="a4"/>
      </w:pPr>
      <w:r>
        <w:t>2.6. Третий этап включает создание и ввод в эксплуатацию движимого имущества, представляющего собой систему платных парковок на автомобильных дорогах общего пользования местного значения муниципального образования «Город Астрахань», расположенных в пределах платной зоны № 3.</w:t>
      </w:r>
    </w:p>
    <w:p w:rsidR="00154EB4" w:rsidRDefault="00154EB4" w:rsidP="00154EB4">
      <w:pPr>
        <w:pStyle w:val="a4"/>
      </w:pPr>
      <w:r>
        <w:t xml:space="preserve">2.7. Срок ввода в эксплуатацию третьего этапа - в течение 11 месяцев </w:t>
      </w:r>
      <w:proofErr w:type="gramStart"/>
      <w:r>
        <w:t>с даты заключения</w:t>
      </w:r>
      <w:proofErr w:type="gramEnd"/>
      <w:r>
        <w:t xml:space="preserve"> концессионного соглашения.</w:t>
      </w:r>
    </w:p>
    <w:p w:rsidR="00154EB4" w:rsidRDefault="00154EB4" w:rsidP="00154EB4">
      <w:pPr>
        <w:pStyle w:val="a4"/>
      </w:pPr>
      <w:r>
        <w:t>2.8. Срок передачи Объекта концессионного соглашения Концессионеру для использования (эксплуатации) - в дату ввода Объекта концессионного соглашения в эксплуатацию.</w:t>
      </w:r>
    </w:p>
    <w:p w:rsidR="00154EB4" w:rsidRDefault="00154EB4" w:rsidP="00154EB4">
      <w:pPr>
        <w:pStyle w:val="a4"/>
      </w:pPr>
      <w:r>
        <w:t xml:space="preserve">2.9. По окончании срока действия концессионного соглашения Концессионер обязан передать Объект концессионного соглашения </w:t>
      </w:r>
      <w:proofErr w:type="spellStart"/>
      <w:r>
        <w:t>Концеденту</w:t>
      </w:r>
      <w:proofErr w:type="spellEnd"/>
      <w:r>
        <w:t xml:space="preserve"> в течение 2 последних месяцев срока эксплуатации Объекта концессионного соглашения (срока действия концессионного соглашения), не прекращая его эксплуатацию.</w:t>
      </w:r>
    </w:p>
    <w:p w:rsidR="00154EB4" w:rsidRDefault="00154EB4" w:rsidP="00154EB4">
      <w:pPr>
        <w:pStyle w:val="a4"/>
      </w:pPr>
      <w:r>
        <w:t>2.10. Модернизация объекта концессионного соглашения, включая замену морально устаревшего и физически изношенного оборудования новым, более производительным оборудованием, осуществление мероприятий по улучшению характеристик и эксплуатационных свойств объекта Соглашения должны быть произведены Концессионером на шестой и десятый годы с начала эксплуатации Объекта концессионного соглашения.</w:t>
      </w:r>
    </w:p>
    <w:p w:rsidR="00154EB4" w:rsidRDefault="00154EB4" w:rsidP="00154EB4">
      <w:pPr>
        <w:pStyle w:val="a4"/>
      </w:pPr>
      <w:r>
        <w:t>3. Срок действия концессионного соглашения.</w:t>
      </w:r>
    </w:p>
    <w:p w:rsidR="00154EB4" w:rsidRDefault="00154EB4" w:rsidP="00154EB4">
      <w:pPr>
        <w:pStyle w:val="a4"/>
      </w:pPr>
      <w:r>
        <w:t xml:space="preserve">3.1. Срок действия концессионного соглашения составляет 12 лет </w:t>
      </w:r>
      <w:proofErr w:type="gramStart"/>
      <w:r>
        <w:t>с даты заключения</w:t>
      </w:r>
      <w:proofErr w:type="gramEnd"/>
      <w:r>
        <w:t xml:space="preserve"> концессионного соглашения.</w:t>
      </w:r>
    </w:p>
    <w:p w:rsidR="00154EB4" w:rsidRDefault="00154EB4" w:rsidP="00154EB4">
      <w:pPr>
        <w:pStyle w:val="a4"/>
      </w:pPr>
      <w:r>
        <w:t xml:space="preserve">3.2. Концессионное соглашение может быть прекращено досрочно в случаях, в порядке и по основаниям, предусмотренным концессионным соглашением и действующим законодательством. При этом порядок досрочного прекращения концессионного соглашения и выплаты возмещения расходов Сторон устанавливаются концессионным соглашением. </w:t>
      </w:r>
    </w:p>
    <w:p w:rsidR="00154EB4" w:rsidRDefault="00154EB4" w:rsidP="00154EB4">
      <w:pPr>
        <w:pStyle w:val="a4"/>
      </w:pPr>
      <w:r>
        <w:t>4. Описание, в том числе технико-экономические показатели, Объекта концессионного соглашения.</w:t>
      </w:r>
    </w:p>
    <w:p w:rsidR="00154EB4" w:rsidRDefault="00154EB4" w:rsidP="00154EB4">
      <w:pPr>
        <w:pStyle w:val="a4"/>
      </w:pPr>
      <w:r>
        <w:t>Объектом концессионного соглашения является система платных парковок на автомобильных дорогах общего пользования местного значения муниципального образования «Город Астрахань», создание которой осуществляется путем реконструкции недвижимого имущества (нежилых помещений Единого диспетчерского центра по адресу: г. Астрахань, ул. Чехова, 10, литер</w:t>
      </w:r>
      <w:proofErr w:type="gramStart"/>
      <w:r>
        <w:t xml:space="preserve"> А</w:t>
      </w:r>
      <w:proofErr w:type="gramEnd"/>
      <w:r>
        <w:t xml:space="preserve">, а именно: помещений 1 этажа № 28, № 29, № 33, № 34, № 35 и помещений подвала № 1, № 9, № 10, № 11, № 12, № 13, № 14, № 15 </w:t>
      </w:r>
      <w:proofErr w:type="gramStart"/>
      <w:r>
        <w:t>общей площадью 216,3 кв. м) и создания технологически связанного с ним движимого имущества - элементов обустройства автомобильных дорог общего пользования местного значения муниципального образования «Город Астрахань» (а именно: платных парковок, специально оборудованных дорожными знаками, разметкой, иными техническими средствами и устройствами для организации временного размещения транспортных средств за плату, в том числе стационарными и мобильными средствами, имеющими функции фото- и киносъемки, видеозаписи</w:t>
      </w:r>
      <w:proofErr w:type="gramEnd"/>
      <w:r>
        <w:t xml:space="preserve"> для взимания платы и фиксации нарушений порядка использования платных парковок), предназначенного для осуществления деятельности по эксплуатации платных парковок, программно-аппаратного комплекса.</w:t>
      </w:r>
    </w:p>
    <w:p w:rsidR="00154EB4" w:rsidRDefault="00154EB4" w:rsidP="00154EB4">
      <w:pPr>
        <w:pStyle w:val="a4"/>
      </w:pPr>
      <w:r>
        <w:t>4.1. Состав, описание и технико-экономические показатели Объекта концессионного соглашения установлены в приложении 1 к настоящему распоряжению администрации муниципального образования «Город Астрахань».</w:t>
      </w:r>
    </w:p>
    <w:p w:rsidR="00154EB4" w:rsidRDefault="00154EB4" w:rsidP="00154EB4">
      <w:pPr>
        <w:pStyle w:val="a4"/>
      </w:pPr>
      <w:r>
        <w:t>4.2. Состав Объекта концессионного соглашения, в том числе границы зоны платной парковки и количество парковок (парковочных мест), может изменяться по соглашению Сторон.</w:t>
      </w:r>
    </w:p>
    <w:p w:rsidR="00154EB4" w:rsidRDefault="00154EB4" w:rsidP="00154EB4">
      <w:pPr>
        <w:pStyle w:val="a4"/>
      </w:pPr>
      <w:r>
        <w:t>5. Порядок предоставления Концессионеру земельных участков, предназначенных для осуществления деятельности, предусмотренной концессионным соглашением.</w:t>
      </w:r>
    </w:p>
    <w:p w:rsidR="00154EB4" w:rsidRDefault="00154EB4" w:rsidP="00154EB4">
      <w:pPr>
        <w:pStyle w:val="a4"/>
      </w:pPr>
      <w:r>
        <w:t xml:space="preserve">5.1. </w:t>
      </w:r>
      <w:proofErr w:type="spellStart"/>
      <w:r>
        <w:t>Концедент</w:t>
      </w:r>
      <w:proofErr w:type="spellEnd"/>
      <w:r>
        <w:t xml:space="preserve"> обязан заключить с Концессионером договоры аренды на земельные участки, на которых располагается объект концессионного соглашения, не позднее чем через 30 дней со дня подписания концессионного соглашения при условии подачи Концессионером в установленном порядке заявления о заключении договора аренды на такие земельные участки.</w:t>
      </w:r>
    </w:p>
    <w:p w:rsidR="00154EB4" w:rsidRDefault="00154EB4" w:rsidP="00154EB4">
      <w:pPr>
        <w:pStyle w:val="a4"/>
      </w:pPr>
      <w:r>
        <w:t>Срок действия договора аренды устанавливается на срок действия концессионного соглашения.</w:t>
      </w:r>
    </w:p>
    <w:p w:rsidR="00154EB4" w:rsidRDefault="00154EB4" w:rsidP="00154EB4">
      <w:pPr>
        <w:pStyle w:val="a4"/>
      </w:pPr>
      <w:r>
        <w:lastRenderedPageBreak/>
        <w:t>5.2. Размер арендной платы рассчитывается в порядке, установленном постановлением Правительства Астраханской области от 29.06.2015 № 284-П «О Порядке определения размера арендной платы за предоставленные в аренду без торгов земельные участки, находящиеся в государственной собственности Астраханской области, земельные участки, государственная собственность на которые не разграничена».</w:t>
      </w:r>
    </w:p>
    <w:p w:rsidR="00154EB4" w:rsidRDefault="00154EB4" w:rsidP="00154EB4">
      <w:pPr>
        <w:pStyle w:val="a4"/>
      </w:pPr>
      <w:r>
        <w:t>Размер обязательства по договору аренды земельного участка с множественностью лиц на стороне арендатора в отношении земельного участка должен быть соразмерен долям в праве на здания, расположенные на предоставляемом земельном участке.</w:t>
      </w:r>
    </w:p>
    <w:p w:rsidR="00154EB4" w:rsidRDefault="00154EB4" w:rsidP="00154EB4">
      <w:pPr>
        <w:pStyle w:val="a4"/>
      </w:pPr>
      <w:r>
        <w:t>5.3. Государственная регистрация договора аренды земельного участка осуществляется за счет Концессионера.</w:t>
      </w:r>
    </w:p>
    <w:p w:rsidR="00154EB4" w:rsidRDefault="00154EB4" w:rsidP="00154EB4">
      <w:pPr>
        <w:pStyle w:val="a4"/>
      </w:pPr>
      <w:r>
        <w:t>Прекращение концессионного соглашения является основанием для прекращения договора аренды земельного участка.</w:t>
      </w:r>
    </w:p>
    <w:p w:rsidR="00154EB4" w:rsidRDefault="00154EB4" w:rsidP="00154EB4">
      <w:pPr>
        <w:pStyle w:val="a4"/>
      </w:pPr>
      <w:r>
        <w:t>6. Цель и срок использования (эксплуатации) Объекта концессионного соглашения.</w:t>
      </w:r>
    </w:p>
    <w:p w:rsidR="00154EB4" w:rsidRDefault="00154EB4" w:rsidP="00154EB4">
      <w:pPr>
        <w:pStyle w:val="a4"/>
      </w:pPr>
      <w:r>
        <w:t xml:space="preserve">6.1. </w:t>
      </w:r>
      <w:proofErr w:type="gramStart"/>
      <w:r>
        <w:t>Целями создания и использования Объекта концессионного соглашения является обеспечение функционирования платных городских парковок (парковочных мест), расположенных на автомобильных дорогах общего пользования местного значения, для оптимизации организации дорожного движения улично-дорожной сети, повышение скорости движения в зонах платной парковки, увеличение оборачиваемости парковочных мест, сокращение потоков личного автотранспорта, въезжающего в пределы платной зоны и стимулирование использования альтернативных видов транспорта.</w:t>
      </w:r>
      <w:proofErr w:type="gramEnd"/>
    </w:p>
    <w:p w:rsidR="00154EB4" w:rsidRDefault="00154EB4" w:rsidP="00154EB4">
      <w:pPr>
        <w:pStyle w:val="a4"/>
      </w:pPr>
      <w:r>
        <w:t>6.2. Срок использования (эксплуатации) Объекта концессионного соглашения - со дня ввода в эксплуатацию Объекта концессионного соглашения до окончания срока действия концессионного соглашения.</w:t>
      </w:r>
    </w:p>
    <w:p w:rsidR="00154EB4" w:rsidRDefault="00154EB4" w:rsidP="00154EB4">
      <w:pPr>
        <w:pStyle w:val="a4"/>
      </w:pPr>
      <w:r>
        <w:t>7. Обеспечение исполнения Концессионером обязательств по концессионному соглашению.</w:t>
      </w:r>
    </w:p>
    <w:p w:rsidR="00154EB4" w:rsidRDefault="00154EB4" w:rsidP="00154EB4">
      <w:pPr>
        <w:pStyle w:val="a4"/>
      </w:pPr>
      <w:r>
        <w:t xml:space="preserve">7.1. Для обеспечения исполнения обязательств по концессионному соглашению Концессионер предоставляет </w:t>
      </w:r>
      <w:proofErr w:type="spellStart"/>
      <w:r>
        <w:t>Концеденту</w:t>
      </w:r>
      <w:proofErr w:type="spellEnd"/>
      <w:r>
        <w:t xml:space="preserve"> банковскую гарантию в обеспечение исполнения обязательств по концессионному соглашению в размере 5 000 000 (пяти миллионов) рублей.</w:t>
      </w:r>
    </w:p>
    <w:p w:rsidR="00154EB4" w:rsidRDefault="00154EB4" w:rsidP="00154EB4">
      <w:pPr>
        <w:pStyle w:val="a4"/>
      </w:pPr>
      <w:r>
        <w:t xml:space="preserve">7.2. Срок действия обеспечения исполнения Концессионером обязательств по концессионному соглашению должен быть не менее срока действия концессионного соглашения. Исполнение данной обязанности Концессионером может быть осуществлено в равной степени как предоставлением одной банковской гарантии на срок действия концессионного соглашения, так и предоставлением нескольких банковских гарантий на требуемую сумму при условии, что каждая последующая банковская гарантия будет предоставляться до истечения срока действия предыдущей гарантии. </w:t>
      </w:r>
    </w:p>
    <w:p w:rsidR="00154EB4" w:rsidRDefault="00154EB4" w:rsidP="00154EB4">
      <w:pPr>
        <w:pStyle w:val="a4"/>
      </w:pPr>
      <w:r>
        <w:t>8. Концессионная плата.</w:t>
      </w:r>
    </w:p>
    <w:p w:rsidR="00154EB4" w:rsidRDefault="00154EB4" w:rsidP="00154EB4">
      <w:pPr>
        <w:pStyle w:val="a4"/>
      </w:pPr>
      <w:r>
        <w:t>8.1. Начальное минимальное значение размера концессионной платы - не менее 15% от размера денежных средств, поступивших Концессионеру от пользователей парковок (парковочных мест) в качестве платы за пользование на платной основе парковками (парковочными местами) в результате осуществления деятельности по использованию (эксплуатации) Объекта концессионного соглашения.</w:t>
      </w:r>
    </w:p>
    <w:p w:rsidR="00154EB4" w:rsidRDefault="00154EB4" w:rsidP="00154EB4">
      <w:pPr>
        <w:pStyle w:val="a4"/>
      </w:pPr>
      <w:r>
        <w:t xml:space="preserve">8.2. Концессионная плата начисляется и </w:t>
      </w:r>
      <w:proofErr w:type="gramStart"/>
      <w:r>
        <w:t>выплачивается</w:t>
      </w:r>
      <w:proofErr w:type="gramEnd"/>
      <w:r>
        <w:t xml:space="preserve"> начиная с даты ввода Объекта концессионного соглашения в эксплуатацию и до окончания срока действия концессионного соглашения.</w:t>
      </w:r>
    </w:p>
    <w:p w:rsidR="00154EB4" w:rsidRDefault="00154EB4" w:rsidP="00154EB4">
      <w:pPr>
        <w:pStyle w:val="a4"/>
      </w:pPr>
      <w:r>
        <w:t xml:space="preserve">8.3. Концессионная плата уплачивается Концессионером </w:t>
      </w:r>
      <w:proofErr w:type="spellStart"/>
      <w:r>
        <w:t>Концеденту</w:t>
      </w:r>
      <w:proofErr w:type="spellEnd"/>
      <w:r>
        <w:t xml:space="preserve"> ежемесячно в срок до 15-го числа каждого месяца, следующего за расчетным месяцем. </w:t>
      </w:r>
    </w:p>
    <w:p w:rsidR="00154EB4" w:rsidRDefault="00154EB4" w:rsidP="00154EB4">
      <w:pPr>
        <w:pStyle w:val="a4"/>
      </w:pPr>
      <w:r>
        <w:t>9. Порядок возмещения расходов сторон в случае прекращения концессионного соглашения и досрочного расторжения концессионного соглашения.</w:t>
      </w:r>
    </w:p>
    <w:p w:rsidR="00154EB4" w:rsidRDefault="00154EB4" w:rsidP="00154EB4">
      <w:pPr>
        <w:pStyle w:val="a4"/>
      </w:pPr>
      <w:r>
        <w:t>В случае досрочного прекращения концессионного соглашения расходы, понесенные сторонами концессионного соглашения, не возмещаются, за исключением случаев предусмотренных законодательством Российской Федерации.</w:t>
      </w:r>
    </w:p>
    <w:p w:rsidR="00154EB4" w:rsidRDefault="00154EB4" w:rsidP="00154EB4">
      <w:pPr>
        <w:pStyle w:val="a4"/>
      </w:pPr>
      <w:r>
        <w:t xml:space="preserve">10. Обязательства </w:t>
      </w:r>
      <w:proofErr w:type="spellStart"/>
      <w:r>
        <w:t>Концедента</w:t>
      </w:r>
      <w:proofErr w:type="spellEnd"/>
      <w:r>
        <w:t xml:space="preserve"> и (или) Концессионера по подготовке территории, необходимой для создания и (или) реконструкции Объекта концессионного соглашения и (или) для осуществления деятельности, предусмотренной концессионным соглашением.</w:t>
      </w:r>
    </w:p>
    <w:p w:rsidR="00154EB4" w:rsidRDefault="00154EB4" w:rsidP="00154EB4">
      <w:pPr>
        <w:pStyle w:val="a4"/>
      </w:pPr>
      <w:r>
        <w:t xml:space="preserve">10.1. </w:t>
      </w:r>
      <w:proofErr w:type="spellStart"/>
      <w:r>
        <w:t>Концедент</w:t>
      </w:r>
      <w:proofErr w:type="spellEnd"/>
      <w:r>
        <w:t xml:space="preserve"> обязан:</w:t>
      </w:r>
    </w:p>
    <w:p w:rsidR="00154EB4" w:rsidRDefault="00154EB4" w:rsidP="00154EB4">
      <w:pPr>
        <w:pStyle w:val="a4"/>
      </w:pPr>
      <w:r>
        <w:t xml:space="preserve">- обеспечить Концессионеру доступ к улично-дорожной сети и проведение работ по обустройству и технологическому оборудованию парковок, установке объектов, предназначенных для оборудования парковок и взимания платы за парковки (планируемые Концессионером сроки, в которые необходимо обеспечить доступ к конкретным объектам, должны быть согласованы не </w:t>
      </w:r>
      <w:proofErr w:type="gramStart"/>
      <w:r>
        <w:t>позднее</w:t>
      </w:r>
      <w:proofErr w:type="gramEnd"/>
      <w:r>
        <w:t xml:space="preserve"> чем за месяц до начала работ на этих объектах в целях согласования работ на этих участках с другими городскими службами);</w:t>
      </w:r>
    </w:p>
    <w:p w:rsidR="00154EB4" w:rsidRDefault="00154EB4" w:rsidP="00154EB4">
      <w:pPr>
        <w:pStyle w:val="a4"/>
      </w:pPr>
      <w:r>
        <w:t xml:space="preserve">- согласовать проекты организации дорожного движения, представленные Концессионером, в течение 20 рабочих дней </w:t>
      </w:r>
      <w:proofErr w:type="gramStart"/>
      <w:r>
        <w:t>с даты представления</w:t>
      </w:r>
      <w:proofErr w:type="gramEnd"/>
      <w:r>
        <w:t xml:space="preserve"> или направить в указанный срок мотивированный ответ в письменной форме с указанием обнаруженных недостатков и разумного срока, необходимого для устранения нарушения;</w:t>
      </w:r>
    </w:p>
    <w:p w:rsidR="00154EB4" w:rsidRDefault="00154EB4" w:rsidP="00154EB4">
      <w:pPr>
        <w:pStyle w:val="a4"/>
      </w:pPr>
      <w:r>
        <w:t>- передать Концессионеру нежилое помещение по акту приема-передачи в течение 10 рабочих дней с момента заключения концессионного соглашения;</w:t>
      </w:r>
    </w:p>
    <w:p w:rsidR="00154EB4" w:rsidRDefault="00154EB4" w:rsidP="00154EB4">
      <w:pPr>
        <w:pStyle w:val="a4"/>
      </w:pPr>
      <w:r>
        <w:t xml:space="preserve">- передать Концессионеру во владение и пользование Объект концессионного соглашения по акту приема-передачи в течение трех рабочих дней </w:t>
      </w:r>
      <w:proofErr w:type="gramStart"/>
      <w:r>
        <w:t>с даты ввода</w:t>
      </w:r>
      <w:proofErr w:type="gramEnd"/>
      <w:r>
        <w:t xml:space="preserve"> Объекта концессионного соглашения в эксплуатацию;</w:t>
      </w:r>
    </w:p>
    <w:p w:rsidR="00154EB4" w:rsidRDefault="00154EB4" w:rsidP="00154EB4">
      <w:pPr>
        <w:pStyle w:val="a4"/>
      </w:pPr>
      <w:r>
        <w:t>- в случае необходимости участвовать совместно с Концессионером в согласовании проектной и иной документации с соответствующими государственными органами и органами местного самоуправления.</w:t>
      </w:r>
    </w:p>
    <w:p w:rsidR="00154EB4" w:rsidRDefault="00154EB4" w:rsidP="00154EB4">
      <w:pPr>
        <w:pStyle w:val="a4"/>
      </w:pPr>
      <w:r>
        <w:t>10.2. Концессионер обязан:</w:t>
      </w:r>
    </w:p>
    <w:p w:rsidR="00154EB4" w:rsidRDefault="00154EB4" w:rsidP="00154EB4">
      <w:pPr>
        <w:pStyle w:val="a4"/>
      </w:pPr>
      <w:r>
        <w:t>- соблюдать сроки создания (реконструкции) Объекта концессионного соглашения, выплачивать концессионную плату в порядке и сроки, предусмотренные концессионным соглашением;</w:t>
      </w:r>
    </w:p>
    <w:p w:rsidR="00154EB4" w:rsidRDefault="00154EB4" w:rsidP="00154EB4">
      <w:pPr>
        <w:pStyle w:val="a4"/>
      </w:pPr>
      <w:r>
        <w:lastRenderedPageBreak/>
        <w:t>- осуществлять деятельность, предусмотренную концессионным соглашением;</w:t>
      </w:r>
    </w:p>
    <w:p w:rsidR="00154EB4" w:rsidRDefault="00154EB4" w:rsidP="00154EB4">
      <w:pPr>
        <w:pStyle w:val="a4"/>
      </w:pPr>
      <w:proofErr w:type="gramStart"/>
      <w:r>
        <w:t>- осуществлять содержание (уборку) территории парковки путем заключения договора с уполномоченными службами (организациями), осуществляющими содержание (уборку) автомобильных дорог общего пользования местного значения муниципального образования «Город Астрахань», и оказывать содействие службам благоустройства в осуществлении на территории парковки уборочных работ и работ по вывозу снега путем освобождения парковки от находящихся на ее территории транспортных средств;</w:t>
      </w:r>
      <w:proofErr w:type="gramEnd"/>
    </w:p>
    <w:p w:rsidR="00154EB4" w:rsidRDefault="00154EB4" w:rsidP="00154EB4">
      <w:pPr>
        <w:pStyle w:val="a4"/>
      </w:pPr>
      <w:r>
        <w:t>- обеспечить инвестиции в создание и (или) реконструкцию объекта концессионного соглашения в объеме не менее 155 000 000 (ста пятидесяти пяти миллионов) рублей.</w:t>
      </w:r>
    </w:p>
    <w:p w:rsidR="00154EB4" w:rsidRDefault="00154EB4" w:rsidP="00154EB4">
      <w:pPr>
        <w:pStyle w:val="a4"/>
      </w:pPr>
    </w:p>
    <w:p w:rsidR="00154EB4" w:rsidRDefault="00154EB4" w:rsidP="00154EB4">
      <w:pPr>
        <w:pStyle w:val="a4"/>
        <w:ind w:left="2835" w:firstLine="0"/>
      </w:pPr>
      <w:r>
        <w:t xml:space="preserve">Приложение 3 к распоряжению администрации </w:t>
      </w:r>
    </w:p>
    <w:p w:rsidR="00154EB4" w:rsidRDefault="00154EB4" w:rsidP="00154EB4">
      <w:pPr>
        <w:pStyle w:val="a4"/>
        <w:ind w:left="2835" w:firstLine="0"/>
      </w:pPr>
      <w:r>
        <w:t>муниципального образования «Город Астрахань»</w:t>
      </w:r>
    </w:p>
    <w:p w:rsidR="00154EB4" w:rsidRDefault="00154EB4" w:rsidP="00154EB4">
      <w:pPr>
        <w:pStyle w:val="a4"/>
        <w:ind w:left="2835" w:firstLine="0"/>
      </w:pPr>
      <w:r>
        <w:t>от 22.08.2018 № 3776-р</w:t>
      </w:r>
    </w:p>
    <w:p w:rsidR="00154EB4" w:rsidRDefault="00154EB4" w:rsidP="00154EB4">
      <w:pPr>
        <w:pStyle w:val="3"/>
      </w:pPr>
      <w:r>
        <w:t>Критерии конкурса и параметры критериев конкурса</w:t>
      </w:r>
    </w:p>
    <w:p w:rsidR="00154EB4" w:rsidRDefault="00154EB4" w:rsidP="00154EB4">
      <w:pPr>
        <w:pStyle w:val="a4"/>
      </w:pPr>
      <w:r>
        <w:t>В соответствии с условиями Конкурса установлены следующие критерии, на основе которых осуществляется оценка конкурсных предложений участников конкурса:</w:t>
      </w:r>
    </w:p>
    <w:p w:rsidR="00154EB4" w:rsidRDefault="00154EB4" w:rsidP="00154EB4">
      <w:pPr>
        <w:pStyle w:val="a4"/>
      </w:pPr>
      <w:r>
        <w:t xml:space="preserve">Критерий 1. Точность распознавания автомобильных номеров мобильными комплексами </w:t>
      </w:r>
      <w:proofErr w:type="spellStart"/>
      <w:r>
        <w:t>фотовидеофиксации</w:t>
      </w:r>
      <w:proofErr w:type="spellEnd"/>
      <w:r>
        <w:t xml:space="preserve"> с минимальным значением 90% и коэффициентом значимости 0,2.</w:t>
      </w:r>
    </w:p>
    <w:p w:rsidR="00154EB4" w:rsidRDefault="00154EB4" w:rsidP="00154EB4">
      <w:pPr>
        <w:pStyle w:val="a4"/>
      </w:pPr>
      <w:r>
        <w:t>К критерию предъявляется требование увеличения начального значения.</w:t>
      </w:r>
    </w:p>
    <w:p w:rsidR="00154EB4" w:rsidRDefault="00154EB4" w:rsidP="00154EB4">
      <w:pPr>
        <w:pStyle w:val="a4"/>
      </w:pPr>
      <w:r>
        <w:t xml:space="preserve">Критерий 2. </w:t>
      </w:r>
      <w:proofErr w:type="gramStart"/>
      <w:r>
        <w:t xml:space="preserve">Время проверки оплаты мобильным комплексом </w:t>
      </w:r>
      <w:proofErr w:type="spellStart"/>
      <w:r>
        <w:t>фотовидеофиксации</w:t>
      </w:r>
      <w:proofErr w:type="spellEnd"/>
      <w:r>
        <w:t xml:space="preserve"> (секунд на 1 автомобиль), установленном на борту автомобиля, с максимальным значением 40 с и коэффициентом значимости 0,2.</w:t>
      </w:r>
      <w:proofErr w:type="gramEnd"/>
    </w:p>
    <w:p w:rsidR="00154EB4" w:rsidRDefault="00154EB4" w:rsidP="00154EB4">
      <w:pPr>
        <w:pStyle w:val="a4"/>
      </w:pPr>
      <w:r>
        <w:t>К критерию предъявляется требование уменьшения начального значения.</w:t>
      </w:r>
    </w:p>
    <w:p w:rsidR="00154EB4" w:rsidRDefault="00154EB4" w:rsidP="00154EB4">
      <w:pPr>
        <w:pStyle w:val="a4"/>
      </w:pPr>
      <w:r>
        <w:t>Критерий 3. Концессионная плата с начальным значением 15% от суммы денежных средств, собираемых Концессионером, с коэффициентом значимости 0,4.</w:t>
      </w:r>
    </w:p>
    <w:p w:rsidR="00154EB4" w:rsidRDefault="00154EB4" w:rsidP="00154EB4">
      <w:pPr>
        <w:pStyle w:val="a4"/>
      </w:pPr>
      <w:r>
        <w:t>К критерию предъявляется требование увеличения начального значения.</w:t>
      </w:r>
    </w:p>
    <w:p w:rsidR="00154EB4" w:rsidRDefault="00154EB4" w:rsidP="00154EB4">
      <w:pPr>
        <w:pStyle w:val="a4"/>
      </w:pPr>
      <w:r>
        <w:t>Критерий 4. Качественная характеристика функционально</w:t>
      </w:r>
      <w:proofErr w:type="gramStart"/>
      <w:r>
        <w:t>­-</w:t>
      </w:r>
      <w:proofErr w:type="gramEnd"/>
      <w:r>
        <w:t xml:space="preserve">технологического, конструктивного или инженерно-технического решения с коэффициентом значимости 0,2. </w:t>
      </w:r>
    </w:p>
    <w:p w:rsidR="00154EB4" w:rsidRDefault="00154EB4" w:rsidP="00154EB4">
      <w:pPr>
        <w:pStyle w:val="3"/>
      </w:pPr>
      <w:r>
        <w:t>Таблица 1. Критерии конкурса и параметры критериев конкурса</w:t>
      </w:r>
    </w:p>
    <w:tbl>
      <w:tblPr>
        <w:tblW w:w="0" w:type="auto"/>
        <w:tblInd w:w="17" w:type="dxa"/>
        <w:tblLayout w:type="fixed"/>
        <w:tblCellMar>
          <w:left w:w="0" w:type="dxa"/>
          <w:right w:w="0" w:type="dxa"/>
        </w:tblCellMar>
        <w:tblLook w:val="0000" w:firstRow="0" w:lastRow="0" w:firstColumn="0" w:lastColumn="0" w:noHBand="0" w:noVBand="0"/>
      </w:tblPr>
      <w:tblGrid>
        <w:gridCol w:w="318"/>
        <w:gridCol w:w="4140"/>
        <w:gridCol w:w="765"/>
        <w:gridCol w:w="1331"/>
        <w:gridCol w:w="678"/>
      </w:tblGrid>
      <w:tr w:rsidR="00154EB4" w:rsidTr="0031527F">
        <w:tblPrEx>
          <w:tblCellMar>
            <w:top w:w="0" w:type="dxa"/>
            <w:left w:w="0" w:type="dxa"/>
            <w:bottom w:w="0" w:type="dxa"/>
            <w:right w:w="0" w:type="dxa"/>
          </w:tblCellMar>
        </w:tblPrEx>
        <w:trPr>
          <w:trHeight w:val="883"/>
        </w:trPr>
        <w:tc>
          <w:tcPr>
            <w:tcW w:w="31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extDirection w:val="btLr"/>
          </w:tcPr>
          <w:p w:rsidR="00154EB4" w:rsidRDefault="00154EB4" w:rsidP="0031527F">
            <w:pPr>
              <w:pStyle w:val="a5"/>
            </w:pPr>
            <w:r>
              <w:t>№ критерия</w:t>
            </w:r>
          </w:p>
        </w:tc>
        <w:tc>
          <w:tcPr>
            <w:tcW w:w="41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Критерий конкурса</w:t>
            </w:r>
          </w:p>
        </w:tc>
        <w:tc>
          <w:tcPr>
            <w:tcW w:w="76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Начальное значение критерия конкурса</w:t>
            </w:r>
          </w:p>
        </w:tc>
        <w:tc>
          <w:tcPr>
            <w:tcW w:w="13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Требование к изменению начального значения критерия конкурса</w:t>
            </w:r>
          </w:p>
        </w:tc>
        <w:tc>
          <w:tcPr>
            <w:tcW w:w="6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Коэффициент значимости</w:t>
            </w:r>
          </w:p>
        </w:tc>
      </w:tr>
      <w:tr w:rsidR="00154EB4" w:rsidTr="003152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1</w:t>
            </w:r>
          </w:p>
        </w:tc>
        <w:tc>
          <w:tcPr>
            <w:tcW w:w="41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 xml:space="preserve">Точность распознавания автомобильных номеров мобильными комплексами </w:t>
            </w:r>
            <w:proofErr w:type="spellStart"/>
            <w:r>
              <w:t>фотовидеофиксации</w:t>
            </w:r>
            <w:proofErr w:type="spellEnd"/>
          </w:p>
        </w:tc>
        <w:tc>
          <w:tcPr>
            <w:tcW w:w="76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90%</w:t>
            </w:r>
          </w:p>
        </w:tc>
        <w:tc>
          <w:tcPr>
            <w:tcW w:w="13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увеличение</w:t>
            </w:r>
          </w:p>
        </w:tc>
        <w:tc>
          <w:tcPr>
            <w:tcW w:w="6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0,2</w:t>
            </w:r>
          </w:p>
        </w:tc>
      </w:tr>
      <w:tr w:rsidR="00154EB4" w:rsidTr="003152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2</w:t>
            </w:r>
          </w:p>
        </w:tc>
        <w:tc>
          <w:tcPr>
            <w:tcW w:w="41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proofErr w:type="gramStart"/>
            <w:r>
              <w:t xml:space="preserve">Время проверки оплаты мобильным комплексом </w:t>
            </w:r>
            <w:proofErr w:type="spellStart"/>
            <w:r>
              <w:t>фотовидеофиксации</w:t>
            </w:r>
            <w:proofErr w:type="spellEnd"/>
            <w:r>
              <w:t xml:space="preserve"> (секунд на 1 автомобиль), установленном на борту автомобиля</w:t>
            </w:r>
            <w:proofErr w:type="gramEnd"/>
          </w:p>
        </w:tc>
        <w:tc>
          <w:tcPr>
            <w:tcW w:w="76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40 с</w:t>
            </w:r>
          </w:p>
        </w:tc>
        <w:tc>
          <w:tcPr>
            <w:tcW w:w="13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уменьшение</w:t>
            </w:r>
          </w:p>
        </w:tc>
        <w:tc>
          <w:tcPr>
            <w:tcW w:w="6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0,2</w:t>
            </w:r>
          </w:p>
        </w:tc>
      </w:tr>
      <w:tr w:rsidR="00154EB4" w:rsidTr="003152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3</w:t>
            </w:r>
          </w:p>
        </w:tc>
        <w:tc>
          <w:tcPr>
            <w:tcW w:w="41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Концессионная плата</w:t>
            </w:r>
          </w:p>
        </w:tc>
        <w:tc>
          <w:tcPr>
            <w:tcW w:w="76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15%</w:t>
            </w:r>
          </w:p>
        </w:tc>
        <w:tc>
          <w:tcPr>
            <w:tcW w:w="13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увеличение</w:t>
            </w:r>
          </w:p>
        </w:tc>
        <w:tc>
          <w:tcPr>
            <w:tcW w:w="6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0,4</w:t>
            </w:r>
          </w:p>
        </w:tc>
      </w:tr>
      <w:tr w:rsidR="00154EB4" w:rsidTr="003152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4</w:t>
            </w:r>
          </w:p>
        </w:tc>
        <w:tc>
          <w:tcPr>
            <w:tcW w:w="41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 xml:space="preserve">Качественная характеристика </w:t>
            </w:r>
            <w:proofErr w:type="spellStart"/>
            <w:r>
              <w:t>функционально­технологического</w:t>
            </w:r>
            <w:proofErr w:type="spellEnd"/>
            <w:r>
              <w:t>, конструктивного или инженерно-технического решения Объекта концессионного соглашения</w:t>
            </w:r>
          </w:p>
        </w:tc>
        <w:tc>
          <w:tcPr>
            <w:tcW w:w="76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балл</w:t>
            </w:r>
          </w:p>
        </w:tc>
        <w:tc>
          <w:tcPr>
            <w:tcW w:w="13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увеличение</w:t>
            </w:r>
          </w:p>
        </w:tc>
        <w:tc>
          <w:tcPr>
            <w:tcW w:w="6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54EB4" w:rsidRDefault="00154EB4" w:rsidP="0031527F">
            <w:pPr>
              <w:pStyle w:val="a5"/>
            </w:pPr>
            <w:r>
              <w:t>0,2</w:t>
            </w:r>
          </w:p>
        </w:tc>
      </w:tr>
    </w:tbl>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761"/>
    <w:rsid w:val="00154EB4"/>
    <w:rsid w:val="008A3761"/>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4EB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154EB4"/>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154EB4"/>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154EB4"/>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154EB4"/>
    <w:pPr>
      <w:spacing w:line="170" w:lineRule="atLeast"/>
      <w:jc w:val="both"/>
    </w:pPr>
    <w:rPr>
      <w:rFonts w:ascii="Arial" w:hAnsi="Arial" w:cs="Arial"/>
      <w:w w:val="90"/>
      <w:sz w:val="17"/>
      <w:szCs w:val="17"/>
    </w:rPr>
  </w:style>
  <w:style w:type="paragraph" w:customStyle="1" w:styleId="a6">
    <w:name w:val="подстрочник"/>
    <w:basedOn w:val="a3"/>
    <w:uiPriority w:val="99"/>
    <w:rsid w:val="00154EB4"/>
    <w:pPr>
      <w:spacing w:line="170" w:lineRule="atLeast"/>
      <w:jc w:val="center"/>
    </w:pPr>
    <w:rPr>
      <w:rFonts w:ascii="Arial" w:hAnsi="Arial" w:cs="Arial"/>
      <w:i/>
      <w:iCs/>
      <w:spacing w:val="3"/>
      <w:w w:val="9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4EB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154EB4"/>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154EB4"/>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154EB4"/>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154EB4"/>
    <w:pPr>
      <w:spacing w:line="170" w:lineRule="atLeast"/>
      <w:jc w:val="both"/>
    </w:pPr>
    <w:rPr>
      <w:rFonts w:ascii="Arial" w:hAnsi="Arial" w:cs="Arial"/>
      <w:w w:val="90"/>
      <w:sz w:val="17"/>
      <w:szCs w:val="17"/>
    </w:rPr>
  </w:style>
  <w:style w:type="paragraph" w:customStyle="1" w:styleId="a6">
    <w:name w:val="подстрочник"/>
    <w:basedOn w:val="a3"/>
    <w:uiPriority w:val="99"/>
    <w:rsid w:val="00154EB4"/>
    <w:pPr>
      <w:spacing w:line="170" w:lineRule="atLeast"/>
      <w:jc w:val="center"/>
    </w:pPr>
    <w:rPr>
      <w:rFonts w:ascii="Arial" w:hAnsi="Arial" w:cs="Arial"/>
      <w:i/>
      <w:iCs/>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5629</Words>
  <Characters>32087</Characters>
  <Application>Microsoft Office Word</Application>
  <DocSecurity>0</DocSecurity>
  <Lines>267</Lines>
  <Paragraphs>75</Paragraphs>
  <ScaleCrop>false</ScaleCrop>
  <Company/>
  <LinksUpToDate>false</LinksUpToDate>
  <CharactersWithSpaces>37641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2018-08-30T04:52:00Z</dcterms:created>
  <dcterms:modified xsi:type="dcterms:W3CDTF">2018-08-30T04:52:00Z</dcterms:modified>
</cp:coreProperties>
</file>