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1D2" w:rsidRPr="004B71D2" w:rsidRDefault="004B71D2" w:rsidP="004B71D2">
      <w:pPr>
        <w:pStyle w:val="3"/>
        <w:spacing w:before="0" w:line="240" w:lineRule="auto"/>
        <w:rPr>
          <w:spacing w:val="0"/>
          <w:w w:val="100"/>
        </w:rPr>
      </w:pPr>
      <w:r w:rsidRPr="004B71D2">
        <w:rPr>
          <w:spacing w:val="0"/>
          <w:w w:val="100"/>
        </w:rPr>
        <w:t>Городская Дума муниципального образования «Город Астрахань»</w:t>
      </w:r>
    </w:p>
    <w:p w:rsidR="00397ABA" w:rsidRDefault="004B71D2" w:rsidP="004B71D2">
      <w:pPr>
        <w:pStyle w:val="3"/>
        <w:spacing w:before="0" w:line="240" w:lineRule="auto"/>
        <w:rPr>
          <w:spacing w:val="0"/>
          <w:w w:val="100"/>
        </w:rPr>
      </w:pPr>
      <w:r w:rsidRPr="004B71D2">
        <w:rPr>
          <w:spacing w:val="0"/>
          <w:w w:val="100"/>
        </w:rPr>
        <w:t>РЕШЕНИЕ</w:t>
      </w:r>
    </w:p>
    <w:p w:rsidR="004B71D2" w:rsidRPr="004B71D2" w:rsidRDefault="004B71D2" w:rsidP="004B71D2">
      <w:pPr>
        <w:pStyle w:val="3"/>
        <w:spacing w:before="0" w:line="240" w:lineRule="auto"/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</w:pPr>
      <w:r w:rsidRPr="004B71D2">
        <w:rPr>
          <w:spacing w:val="0"/>
          <w:w w:val="100"/>
        </w:rPr>
        <w:t>19.11.2020 № 38</w:t>
      </w:r>
    </w:p>
    <w:p w:rsidR="004B71D2" w:rsidRPr="004B71D2" w:rsidRDefault="004B71D2" w:rsidP="004B71D2">
      <w:pPr>
        <w:pStyle w:val="3"/>
        <w:spacing w:before="0" w:line="240" w:lineRule="auto"/>
        <w:rPr>
          <w:spacing w:val="0"/>
          <w:w w:val="100"/>
        </w:rPr>
      </w:pPr>
      <w:r w:rsidRPr="004B71D2"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  <w:t>«</w:t>
      </w:r>
      <w:r w:rsidRPr="004B71D2">
        <w:rPr>
          <w:spacing w:val="0"/>
          <w:w w:val="100"/>
        </w:rPr>
        <w:t xml:space="preserve">О внесении изменений в решение Городской Думы </w:t>
      </w:r>
    </w:p>
    <w:p w:rsidR="004B71D2" w:rsidRPr="004B71D2" w:rsidRDefault="004B71D2" w:rsidP="004B71D2">
      <w:pPr>
        <w:pStyle w:val="3"/>
        <w:spacing w:before="0" w:line="240" w:lineRule="auto"/>
        <w:rPr>
          <w:spacing w:val="0"/>
          <w:w w:val="100"/>
        </w:rPr>
      </w:pPr>
      <w:r w:rsidRPr="004B71D2">
        <w:rPr>
          <w:spacing w:val="0"/>
          <w:w w:val="100"/>
        </w:rPr>
        <w:t>муниципального образования «Город Астрахань» от 04.12.2014 № 234»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proofErr w:type="gramStart"/>
      <w:r w:rsidRPr="004B71D2">
        <w:rPr>
          <w:spacing w:val="0"/>
          <w:w w:val="100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закона Астраханской области от 12.11.2007 № 66/2007-ОЗ «Об отдельных вопросах правового регулирования градостроительной деятельности в Астраханской области», Устава муниципального образования «Город Астрахань», Положения о порядке подготовки, утверждения местных нормативов градостроительного проектирования муниципального образования «Город Астрахань» и внесения изменений в них</w:t>
      </w:r>
      <w:proofErr w:type="gramEnd"/>
      <w:r w:rsidRPr="004B71D2">
        <w:rPr>
          <w:spacing w:val="0"/>
          <w:w w:val="100"/>
        </w:rPr>
        <w:t>, утвержденного решением Городской Думы муниципального образования «Город Астрахань» от 27.11.2018 № 177, во исполнение пункта 2 Перечня поручений Президента Российской Федерации по итогам заседания Совета по развитию физической культуры и спорта от 22.11.2019 № Пр-2397 Городская Дума РЕШИЛА: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1. Внести в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 234, с изменениями, внесенными решениями Городской Думы муниципального образования «Город Астрахань» от 01.02.2018 № 10, от 20.09.2018 № 122, следующие изменения: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1.1. исключить подпункт 6.3.2.2 пункта 6.3.2 части 6.3 раздела 6;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1.2. дополнить раздел 6 частью 6.4 следующего содержания: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«6.4. Правила для размещения на территории муниципального образования «Город Астрахань» велосипедных дорожек и полос для велосипедистов, инфраструктуры для велосипедного движения.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6.4.1. Область применения.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Правила для размещения на территории муниципального образования «Город Астрахань» велосипедных дорожек и полос для велосипедистов, инфраструктуры для велосипедного движения применяются при подготовке документов территориального планирования муниципального образования «Город Астрахань», при подготовке документации по планировке и межеванию территории, на стадиях архитектурно-строительного проектирования, строительства, реконструкции объектов капитального строительства.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6.4.2. Качественные и количественные характеристики.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6.4.2.1. Формирование инфраструктуры для велосипедного движения.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а) Инфраструктура для велосипедного движения формируется в виде взаимоувязанной сети велосипедных путей (велосипедных дорожек и (или) полос для движения велосипедного транспорта) на городских территориях различного функционального назначения.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б) При организации велосипедных путей доступ велосипедистов на иные транспортные коммуникации ограничивается.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в) Расчетную скорость для велосипедистов следует принимать 20 км/ч. На подъездах к пересечениям или подземным проходам расчетная скорость может быть снижена до 10 км/ч. 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г) На велосипедных путях и их пересечениях следует предусматривать расстояние видимости, достаточное для безопасного движения транспортных средств и пешеходов, в соответствии с требованиями части 5.7 СП 396.1325800.2018 «Улицы и дороги населенных пунктов. Правила градостроительного проектирования», утвержденного приказом Министерства строительства и жилищно-коммунального хозяйства РФ от 01.08.2018 № 474/пр.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д) Освещенность велосипедных полос и дорожек должна соответствовать ГОСТ </w:t>
      </w:r>
      <w:proofErr w:type="gramStart"/>
      <w:r w:rsidRPr="004B71D2">
        <w:rPr>
          <w:spacing w:val="0"/>
          <w:w w:val="100"/>
        </w:rPr>
        <w:t>Р</w:t>
      </w:r>
      <w:proofErr w:type="gramEnd"/>
      <w:r w:rsidRPr="004B71D2">
        <w:rPr>
          <w:spacing w:val="0"/>
          <w:w w:val="100"/>
        </w:rPr>
        <w:t xml:space="preserve"> 55844-2013 «Освещение наружное утилитарное дорог и пешеходных зон. </w:t>
      </w:r>
      <w:proofErr w:type="gramStart"/>
      <w:r w:rsidRPr="004B71D2">
        <w:rPr>
          <w:spacing w:val="0"/>
          <w:w w:val="100"/>
        </w:rPr>
        <w:t xml:space="preserve">Нормы», утвержденному приказом Федерального агентства по техническому регулированию и метрологии от 22.11.2013 № 1784-ст. </w:t>
      </w:r>
      <w:proofErr w:type="gramEnd"/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е) Количество полос движения назначается в зависимости от прогнозируемой интенсивности велосипедного движения из расчета 1500 вел</w:t>
      </w:r>
      <w:proofErr w:type="gramStart"/>
      <w:r w:rsidRPr="004B71D2">
        <w:rPr>
          <w:spacing w:val="0"/>
          <w:w w:val="100"/>
        </w:rPr>
        <w:t>.</w:t>
      </w:r>
      <w:proofErr w:type="gramEnd"/>
      <w:r w:rsidRPr="004B71D2">
        <w:rPr>
          <w:spacing w:val="0"/>
          <w:w w:val="100"/>
        </w:rPr>
        <w:t>/</w:t>
      </w:r>
      <w:proofErr w:type="gramStart"/>
      <w:r w:rsidRPr="004B71D2">
        <w:rPr>
          <w:spacing w:val="0"/>
          <w:w w:val="100"/>
        </w:rPr>
        <w:t>ч</w:t>
      </w:r>
      <w:proofErr w:type="gramEnd"/>
      <w:r w:rsidRPr="004B71D2">
        <w:rPr>
          <w:spacing w:val="0"/>
          <w:w w:val="100"/>
        </w:rPr>
        <w:t xml:space="preserve"> на одну велосипедную полосу - при одностороннем движении, 1000 вел./ч на одну велосипедную полосу - при двустороннем движении.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ж) Минимальные расстояния от велосипедных дорожек и полос до боковых препятствий следует принимать по таблице № 11. </w:t>
      </w:r>
    </w:p>
    <w:p w:rsidR="004B71D2" w:rsidRPr="004B71D2" w:rsidRDefault="004B71D2" w:rsidP="004B71D2">
      <w:pPr>
        <w:pStyle w:val="a4"/>
        <w:spacing w:line="240" w:lineRule="auto"/>
        <w:jc w:val="right"/>
        <w:rPr>
          <w:spacing w:val="0"/>
          <w:w w:val="100"/>
        </w:rPr>
      </w:pPr>
      <w:r w:rsidRPr="004B71D2">
        <w:rPr>
          <w:spacing w:val="0"/>
          <w:w w:val="100"/>
        </w:rPr>
        <w:t>Таблица № 11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5"/>
        <w:gridCol w:w="2268"/>
        <w:gridCol w:w="2126"/>
      </w:tblGrid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Минимальное расстояние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 xml:space="preserve">Велосипедная дорожка, </w:t>
            </w:r>
            <w:proofErr w:type="gramStart"/>
            <w:r w:rsidRPr="004B71D2">
              <w:rPr>
                <w:w w:val="100"/>
              </w:rPr>
              <w:t>м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 xml:space="preserve">Велосипедная полоса, </w:t>
            </w:r>
            <w:proofErr w:type="gramStart"/>
            <w:r w:rsidRPr="004B71D2">
              <w:rPr>
                <w:w w:val="100"/>
              </w:rPr>
              <w:t>м</w:t>
            </w:r>
            <w:proofErr w:type="gramEnd"/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До проезжей части, опор, деревьев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0,75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0,50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До стоянок автомобилей (параллельных/ под углом)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0,75/0,25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Тротуаров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0,50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0,25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 xml:space="preserve">Зданий, оград и других построек </w:t>
            </w:r>
          </w:p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и сооружений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0,25</w:t>
            </w:r>
          </w:p>
        </w:tc>
      </w:tr>
    </w:tbl>
    <w:p w:rsidR="004B71D2" w:rsidRPr="004B71D2" w:rsidRDefault="004B71D2" w:rsidP="004B71D2">
      <w:pPr>
        <w:pStyle w:val="a4"/>
        <w:spacing w:line="240" w:lineRule="auto"/>
        <w:rPr>
          <w:spacing w:val="0"/>
          <w:w w:val="100"/>
        </w:rPr>
      </w:pPr>
    </w:p>
    <w:p w:rsidR="004B71D2" w:rsidRPr="004B71D2" w:rsidRDefault="004B71D2" w:rsidP="004B71D2">
      <w:pPr>
        <w:pStyle w:val="a4"/>
        <w:spacing w:line="240" w:lineRule="auto"/>
        <w:rPr>
          <w:spacing w:val="0"/>
          <w:w w:val="100"/>
        </w:rPr>
      </w:pP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6.4.2.2. Планировочные параметры </w:t>
      </w:r>
      <w:proofErr w:type="spellStart"/>
      <w:r w:rsidRPr="004B71D2">
        <w:rPr>
          <w:spacing w:val="0"/>
          <w:w w:val="100"/>
        </w:rPr>
        <w:t>велокоммуникаций</w:t>
      </w:r>
      <w:proofErr w:type="spellEnd"/>
      <w:r w:rsidRPr="004B71D2">
        <w:rPr>
          <w:spacing w:val="0"/>
          <w:w w:val="100"/>
        </w:rPr>
        <w:t>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lastRenderedPageBreak/>
        <w:t>а) Выбор типа велосипедных путей осуществляется исходя из величины прогнозируемой интенсивности велосипедного движения, интенсивности использования прочих транспортных коммуникаций и планировочных возможностей на проектируемой территории.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б) Допускается возможность организации по велосипедной дорожке как одностороннего, так и двустороннего движения.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в) Ширину велосипедных путей следует принимать по расчету необходимого количества полос движения. Ширину одной полосы следует принимать по таблице № 12.</w:t>
      </w:r>
    </w:p>
    <w:p w:rsidR="004B71D2" w:rsidRPr="004B71D2" w:rsidRDefault="004B71D2" w:rsidP="004B71D2">
      <w:pPr>
        <w:pStyle w:val="a4"/>
        <w:spacing w:line="240" w:lineRule="auto"/>
        <w:jc w:val="right"/>
        <w:rPr>
          <w:spacing w:val="0"/>
          <w:w w:val="100"/>
        </w:rPr>
      </w:pPr>
      <w:r w:rsidRPr="004B71D2">
        <w:rPr>
          <w:spacing w:val="0"/>
          <w:w w:val="100"/>
        </w:rPr>
        <w:t>Таблица № 12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1559"/>
        <w:gridCol w:w="1701"/>
      </w:tblGrid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</w:p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Тип велосипедного пути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 xml:space="preserve">Ширина полосы, </w:t>
            </w:r>
            <w:proofErr w:type="gramStart"/>
            <w:r w:rsidRPr="004B71D2">
              <w:rPr>
                <w:w w:val="100"/>
              </w:rPr>
              <w:t>м</w:t>
            </w:r>
            <w:proofErr w:type="gramEnd"/>
            <w:r w:rsidRPr="004B71D2">
              <w:rPr>
                <w:w w:val="100"/>
              </w:rPr>
              <w:t>, при движении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1D2" w:rsidRPr="004B71D2" w:rsidRDefault="004B71D2" w:rsidP="004B71D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одностороннем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двустороннем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Полоса, выделенная в пределах полосы движения автомобилей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-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Полоса, совмещенная с проезжей частью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1,5*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-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Полоса, отделенная от проезжей части парковкой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1,0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Велосипедная дорожка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1,0</w:t>
            </w:r>
          </w:p>
        </w:tc>
      </w:tr>
      <w:tr w:rsidR="004B71D2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Примечание: знаком «*» отмечено значение ширины полосы, которое допускается уменьшать до 1,2 м при попутном движении.</w:t>
            </w:r>
          </w:p>
        </w:tc>
      </w:tr>
    </w:tbl>
    <w:p w:rsidR="004B71D2" w:rsidRPr="004B71D2" w:rsidRDefault="004B71D2" w:rsidP="004B71D2">
      <w:pPr>
        <w:pStyle w:val="a4"/>
        <w:spacing w:line="240" w:lineRule="auto"/>
        <w:rPr>
          <w:spacing w:val="0"/>
          <w:w w:val="100"/>
        </w:rPr>
      </w:pPr>
    </w:p>
    <w:p w:rsidR="004B71D2" w:rsidRPr="004B71D2" w:rsidRDefault="004B71D2" w:rsidP="004B71D2">
      <w:pPr>
        <w:pStyle w:val="a4"/>
        <w:spacing w:line="240" w:lineRule="auto"/>
        <w:rPr>
          <w:spacing w:val="0"/>
          <w:w w:val="100"/>
        </w:rPr>
      </w:pP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г) При расчете габаритов велосипедной дорожки к ее ширине необходимо добавлять зазоры безопасности с покрытием, аналогичным покрытию велосипедных полос. Ширину зазоров следует принимать в соответствии с таблицей № 11.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д) На кривых малого радиуса, на крутых спусках и при прохождении велосипедной дорожки в непосредственной близости от крупных транспортных коммуникаций для обеспечения безопасности участников движения велосипедные дорожки следует оборудовать ограждениями.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е) Продольный уклон велосипедных путей должен соответствовать продольному уклону проезжей части. Не рекомендуется применять велосипедные дорожки и полосы с двусторонним движением при продольных уклонах проезжей части улицы или дороги более 30%.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ж) Минимальный внутренний радиус кривой велосипедной дорожки в плане вне пересечений - 5 м, на пересечениях - 3 м. Рекомендуемый радиус кривых в плане на велосипедных дорожках на протяженных прямых участках и основных велосипедных маршрутах - 20 м. Минимальный радиус вогнутых вертикальных кривых - 100 м, выпуклых - 400 м. 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з) Рекомендуемые длины подъемов велосипедной дорожки в зависимости от продольного уклона: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79"/>
        <w:gridCol w:w="850"/>
        <w:gridCol w:w="851"/>
        <w:gridCol w:w="850"/>
        <w:gridCol w:w="851"/>
        <w:gridCol w:w="850"/>
      </w:tblGrid>
      <w:tr w:rsidR="00397ABA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Продольный уклон велосипедной дорожки,%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30</w:t>
            </w:r>
          </w:p>
        </w:tc>
      </w:tr>
      <w:tr w:rsidR="00397ABA" w:rsidRPr="004B71D2" w:rsidTr="00397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 xml:space="preserve">Рекомендуемая длина подъема, </w:t>
            </w:r>
            <w:proofErr w:type="gramStart"/>
            <w:r w:rsidRPr="004B71D2">
              <w:rPr>
                <w:w w:val="100"/>
              </w:rPr>
              <w:t>м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До 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40-60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70-130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150-250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57" w:type="dxa"/>
              <w:bottom w:w="57" w:type="dxa"/>
              <w:right w:w="57" w:type="dxa"/>
            </w:tcMar>
          </w:tcPr>
          <w:p w:rsidR="004B71D2" w:rsidRPr="004B71D2" w:rsidRDefault="004B71D2" w:rsidP="004B71D2">
            <w:pPr>
              <w:pStyle w:val="a5"/>
              <w:spacing w:line="240" w:lineRule="auto"/>
              <w:rPr>
                <w:w w:val="100"/>
              </w:rPr>
            </w:pPr>
            <w:r w:rsidRPr="004B71D2">
              <w:rPr>
                <w:w w:val="100"/>
              </w:rPr>
              <w:t>250-500</w:t>
            </w:r>
          </w:p>
        </w:tc>
      </w:tr>
    </w:tbl>
    <w:p w:rsidR="004B71D2" w:rsidRPr="004B71D2" w:rsidRDefault="004B71D2" w:rsidP="004B71D2">
      <w:pPr>
        <w:pStyle w:val="a4"/>
        <w:spacing w:line="240" w:lineRule="auto"/>
        <w:rPr>
          <w:spacing w:val="0"/>
          <w:w w:val="100"/>
        </w:rPr>
      </w:pPr>
    </w:p>
    <w:p w:rsidR="004B71D2" w:rsidRPr="004B71D2" w:rsidRDefault="004B71D2" w:rsidP="004B71D2">
      <w:pPr>
        <w:pStyle w:val="a4"/>
        <w:spacing w:line="240" w:lineRule="auto"/>
        <w:rPr>
          <w:spacing w:val="0"/>
          <w:w w:val="100"/>
        </w:rPr>
      </w:pP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и) При уклонах более 50% следует увеличивать ширину велосипедных полос и дорожек в 1,5 раза.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к) Продольные уклоны велосипедных дорожек следует назначать индивидуально, но принимать не </w:t>
      </w:r>
      <w:proofErr w:type="gramStart"/>
      <w:r w:rsidRPr="004B71D2">
        <w:rPr>
          <w:spacing w:val="0"/>
          <w:w w:val="100"/>
        </w:rPr>
        <w:t>более указанных</w:t>
      </w:r>
      <w:proofErr w:type="gramEnd"/>
      <w:r w:rsidRPr="004B71D2">
        <w:rPr>
          <w:spacing w:val="0"/>
          <w:w w:val="100"/>
        </w:rPr>
        <w:t xml:space="preserve"> в таблице 11.6 СП 42.13330.2016 «Градостроительство. Планировка и застройка городских и сельских поселений» (актуализированная редакция СНиП 2.07.01-89*), утвержденного приказом Министерства строительства и жилищно-коммунального хозяйства РФ от 30.12.2016 № 1034/пр. 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6.4.2.3. Велостоянки.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а) Размещение велостоянок следует предусматривать у объектов массового посещения, станций скоростного внеуличного транспорта, на транспортно-пересадочных узлах и тротуарах обустроенных зон, содержащих устройства для парковки велосипедов. 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б) Велостоянки должны быть оборудованы соответствующими парковочными устройствами, которые служат опорой велосипеду и позволяют закрепить его.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в) Емкость велостоянок определяют исходя из интенсивности велосипедного движения и планировочной возможности</w:t>
      </w:r>
      <w:proofErr w:type="gramStart"/>
      <w:r w:rsidRPr="004B71D2">
        <w:rPr>
          <w:spacing w:val="0"/>
          <w:w w:val="100"/>
        </w:rPr>
        <w:t>.».</w:t>
      </w:r>
      <w:proofErr w:type="gramEnd"/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>2. Настоящие изменения в местные нормативы градостроительного проектирования муниципального образования «Город Астрахань» разместить в федеральной государственной информационной системе территориального планирования в срок, не превышающий пяти дней со дня их утверждения.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администрации муниципального образования «Город Астрахань» и Городской Думы муниципального образования «Город Астрахань» в информационно-телекоммуникационной сети Интернет. 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lastRenderedPageBreak/>
        <w:t>4. Настоящее решение вступает в силу после его официального опубликования.</w:t>
      </w:r>
    </w:p>
    <w:p w:rsidR="004B71D2" w:rsidRPr="004B71D2" w:rsidRDefault="004B71D2" w:rsidP="00397ABA">
      <w:pPr>
        <w:pStyle w:val="a4"/>
        <w:spacing w:line="240" w:lineRule="auto"/>
        <w:ind w:firstLine="709"/>
        <w:rPr>
          <w:spacing w:val="0"/>
          <w:w w:val="100"/>
        </w:rPr>
      </w:pPr>
      <w:r w:rsidRPr="004B71D2">
        <w:rPr>
          <w:spacing w:val="0"/>
          <w:w w:val="100"/>
        </w:rPr>
        <w:t xml:space="preserve">5.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4B71D2" w:rsidRPr="004B71D2" w:rsidRDefault="004B71D2" w:rsidP="004B71D2">
      <w:pPr>
        <w:pStyle w:val="a4"/>
        <w:spacing w:line="240" w:lineRule="auto"/>
        <w:jc w:val="right"/>
        <w:rPr>
          <w:b/>
          <w:bCs/>
          <w:spacing w:val="0"/>
          <w:w w:val="100"/>
        </w:rPr>
      </w:pPr>
      <w:r w:rsidRPr="004B71D2">
        <w:rPr>
          <w:b/>
          <w:bCs/>
          <w:spacing w:val="0"/>
          <w:w w:val="100"/>
        </w:rPr>
        <w:t>Председатель Городской Думы</w:t>
      </w:r>
      <w:r w:rsidRPr="004B71D2">
        <w:rPr>
          <w:b/>
          <w:bCs/>
          <w:spacing w:val="0"/>
          <w:w w:val="100"/>
        </w:rPr>
        <w:t xml:space="preserve"> </w:t>
      </w:r>
      <w:r w:rsidRPr="004B71D2">
        <w:rPr>
          <w:b/>
          <w:bCs/>
          <w:spacing w:val="0"/>
          <w:w w:val="100"/>
        </w:rPr>
        <w:t xml:space="preserve">муниципального образования «Город Астрахань» </w:t>
      </w:r>
    </w:p>
    <w:p w:rsidR="004B71D2" w:rsidRPr="004B71D2" w:rsidRDefault="004B71D2" w:rsidP="004B71D2">
      <w:pPr>
        <w:pStyle w:val="a4"/>
        <w:spacing w:line="240" w:lineRule="auto"/>
        <w:jc w:val="right"/>
        <w:rPr>
          <w:spacing w:val="0"/>
          <w:w w:val="100"/>
        </w:rPr>
      </w:pPr>
      <w:r w:rsidRPr="004B71D2">
        <w:rPr>
          <w:b/>
          <w:bCs/>
          <w:spacing w:val="0"/>
          <w:w w:val="100"/>
        </w:rPr>
        <w:t>И.Ю. СЕДОВ.</w:t>
      </w:r>
    </w:p>
    <w:p w:rsidR="004B71D2" w:rsidRPr="004B71D2" w:rsidRDefault="004B71D2" w:rsidP="004B71D2">
      <w:pPr>
        <w:pStyle w:val="a4"/>
        <w:spacing w:line="240" w:lineRule="auto"/>
        <w:jc w:val="right"/>
        <w:rPr>
          <w:spacing w:val="0"/>
          <w:w w:val="100"/>
        </w:rPr>
      </w:pPr>
      <w:r w:rsidRPr="004B71D2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FF4A14" w:rsidRPr="004B71D2" w:rsidRDefault="00397ABA" w:rsidP="004B71D2">
      <w:pPr>
        <w:spacing w:after="0" w:line="240" w:lineRule="auto"/>
      </w:pPr>
      <w:bookmarkStart w:id="0" w:name="_GoBack"/>
      <w:bookmarkEnd w:id="0"/>
    </w:p>
    <w:sectPr w:rsidR="00FF4A14" w:rsidRPr="004B71D2" w:rsidSect="00397A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1D2"/>
    <w:rsid w:val="00397ABA"/>
    <w:rsid w:val="004B71D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1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B71D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B71D2"/>
    <w:pPr>
      <w:spacing w:before="57" w:line="220" w:lineRule="atLeast"/>
      <w:jc w:val="center"/>
    </w:pPr>
    <w:rPr>
      <w:rFonts w:ascii="Cambria" w:hAnsi="Cambria" w:cs="Cambria"/>
      <w:b/>
      <w:bCs/>
      <w:spacing w:val="5"/>
      <w:w w:val="110"/>
      <w:sz w:val="20"/>
      <w:szCs w:val="20"/>
    </w:rPr>
  </w:style>
  <w:style w:type="paragraph" w:customStyle="1" w:styleId="a4">
    <w:name w:val="основной текст"/>
    <w:basedOn w:val="a3"/>
    <w:uiPriority w:val="99"/>
    <w:rsid w:val="004B71D2"/>
    <w:pPr>
      <w:spacing w:line="200" w:lineRule="atLeast"/>
      <w:ind w:firstLine="227"/>
      <w:jc w:val="both"/>
    </w:pPr>
    <w:rPr>
      <w:rFonts w:ascii="Arial" w:hAnsi="Arial" w:cs="Arial"/>
      <w:spacing w:val="5"/>
      <w:w w:val="110"/>
      <w:sz w:val="18"/>
      <w:szCs w:val="18"/>
    </w:rPr>
  </w:style>
  <w:style w:type="paragraph" w:customStyle="1" w:styleId="a5">
    <w:name w:val="Таблица"/>
    <w:basedOn w:val="a3"/>
    <w:uiPriority w:val="99"/>
    <w:rsid w:val="004B71D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1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B71D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B71D2"/>
    <w:pPr>
      <w:spacing w:before="57" w:line="220" w:lineRule="atLeast"/>
      <w:jc w:val="center"/>
    </w:pPr>
    <w:rPr>
      <w:rFonts w:ascii="Cambria" w:hAnsi="Cambria" w:cs="Cambria"/>
      <w:b/>
      <w:bCs/>
      <w:spacing w:val="5"/>
      <w:w w:val="110"/>
      <w:sz w:val="20"/>
      <w:szCs w:val="20"/>
    </w:rPr>
  </w:style>
  <w:style w:type="paragraph" w:customStyle="1" w:styleId="a4">
    <w:name w:val="основной текст"/>
    <w:basedOn w:val="a3"/>
    <w:uiPriority w:val="99"/>
    <w:rsid w:val="004B71D2"/>
    <w:pPr>
      <w:spacing w:line="200" w:lineRule="atLeast"/>
      <w:ind w:firstLine="227"/>
      <w:jc w:val="both"/>
    </w:pPr>
    <w:rPr>
      <w:rFonts w:ascii="Arial" w:hAnsi="Arial" w:cs="Arial"/>
      <w:spacing w:val="5"/>
      <w:w w:val="110"/>
      <w:sz w:val="18"/>
      <w:szCs w:val="18"/>
    </w:rPr>
  </w:style>
  <w:style w:type="paragraph" w:customStyle="1" w:styleId="a5">
    <w:name w:val="Таблица"/>
    <w:basedOn w:val="a3"/>
    <w:uiPriority w:val="99"/>
    <w:rsid w:val="004B71D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1273</Words>
  <Characters>7257</Characters>
  <Application>Microsoft Office Word</Application>
  <DocSecurity>0</DocSecurity>
  <Lines>60</Lines>
  <Paragraphs>17</Paragraphs>
  <ScaleCrop>false</ScaleCrop>
  <Company/>
  <LinksUpToDate>false</LinksUpToDate>
  <CharactersWithSpaces>8513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2020-11-26T05:28:00Z</dcterms:created>
  <dcterms:modified xsi:type="dcterms:W3CDTF">2020-11-26T05:32:00Z</dcterms:modified>
</cp:coreProperties>
</file>