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5D" w:rsidRDefault="00E60D5D" w:rsidP="00E60D5D">
      <w:pPr>
        <w:pStyle w:val="3"/>
      </w:pPr>
      <w:r>
        <w:t>Городская Дума муниципального образования «Город Астрахань»</w:t>
      </w:r>
    </w:p>
    <w:p w:rsidR="00E60D5D" w:rsidRDefault="00E60D5D" w:rsidP="00E60D5D">
      <w:pPr>
        <w:pStyle w:val="3"/>
      </w:pPr>
      <w:r>
        <w:t>РЕШЕНИЕ</w:t>
      </w:r>
      <w:bookmarkStart w:id="0" w:name="_GoBack"/>
      <w:bookmarkEnd w:id="0"/>
    </w:p>
    <w:p w:rsidR="00E60D5D" w:rsidRDefault="00E60D5D" w:rsidP="00E60D5D">
      <w:pPr>
        <w:pStyle w:val="3"/>
      </w:pPr>
      <w:r>
        <w:t>20.09.2018 № 122</w:t>
      </w:r>
    </w:p>
    <w:p w:rsidR="00E60D5D" w:rsidRDefault="00E60D5D" w:rsidP="00E60D5D">
      <w:pPr>
        <w:pStyle w:val="3"/>
      </w:pPr>
      <w:r>
        <w:t xml:space="preserve">«О внесении изменений в решение Городской Думы </w:t>
      </w:r>
    </w:p>
    <w:p w:rsidR="00E60D5D" w:rsidRDefault="00E60D5D" w:rsidP="00E60D5D">
      <w:pPr>
        <w:pStyle w:val="3"/>
      </w:pPr>
      <w:r>
        <w:t>муниципального образования «Город Астрахань» от 04.12.2014 № 234»</w:t>
      </w:r>
    </w:p>
    <w:p w:rsidR="00E60D5D" w:rsidRDefault="00E60D5D" w:rsidP="00E60D5D">
      <w:pPr>
        <w:pStyle w:val="a4"/>
      </w:pPr>
      <w:proofErr w:type="gramStart"/>
      <w:r>
        <w:t>На основании Градостроительного кодекса Российской Федерации, Федерального закона от 06.10.2003 № 131-ФЗ «Об общих принципах организации местного самоуправления в Российской Федерации», закона Астраханской области от 12.11.2007 № 66/2007-ОЗ «Об отдельных вопросах правового регулирования градостроительной деятельности в Астраханской области», постановления Правительства Астраханской области от 21.03.2018 № 109-П «О региональных нормативах градостроительного проектирования Астраханской области», постановления министерства экономического развития Астраханской области от 05.09.2016 № 011-п</w:t>
      </w:r>
      <w:proofErr w:type="gramEnd"/>
      <w:r>
        <w:t xml:space="preserve"> «О нормативах минимальной обеспеченности населения площадью торговых объектов на территории Астраханской области», Устава муниципального образования «Город Астрахань», Положения о порядке подготовки, утверждения местных нормативов градостроительного проектирования муниципального образования «Город Астрахань» и внесения изменений в них, утвержденного постановлением администрации города Астрахани от 19.08.2014 № 5217, Городская Дума РЕШИЛА:</w:t>
      </w:r>
    </w:p>
    <w:p w:rsidR="00E60D5D" w:rsidRDefault="00E60D5D" w:rsidP="00E60D5D">
      <w:pPr>
        <w:pStyle w:val="a4"/>
      </w:pPr>
      <w:r>
        <w:t xml:space="preserve">1. </w:t>
      </w:r>
      <w:proofErr w:type="gramStart"/>
      <w:r>
        <w:t>Внести в местные нормативы градостроительного проектирования муниципального образования «Город Астрахань», утвержденные решением Городской Думы муниципального образования «Город Астрахань» от 04.12.2014 № 234, с изменением, внесенным решением Городской Думы муниципального образования «Город Астрахань» от 01.02.2018 № 10, следующие изменения:</w:t>
      </w:r>
      <w:proofErr w:type="gramEnd"/>
    </w:p>
    <w:p w:rsidR="00E60D5D" w:rsidRDefault="00E60D5D" w:rsidP="00E60D5D">
      <w:pPr>
        <w:pStyle w:val="a4"/>
      </w:pPr>
      <w:r>
        <w:t xml:space="preserve">1.1. В части 1.3 раздела 1 слова «Правилами землепользования и </w:t>
      </w:r>
      <w:proofErr w:type="gramStart"/>
      <w:r>
        <w:t>застройки города</w:t>
      </w:r>
      <w:proofErr w:type="gramEnd"/>
      <w:r>
        <w:t xml:space="preserve"> Астрахани в новой редакции, утвержденными решением Городской Думы муниципального образования «Город Астрахань» от 30.09.2011 № 144» заменить словами «Правилами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№ 52».</w:t>
      </w:r>
    </w:p>
    <w:p w:rsidR="00E60D5D" w:rsidRDefault="00E60D5D" w:rsidP="00E60D5D">
      <w:pPr>
        <w:pStyle w:val="a4"/>
      </w:pPr>
      <w:r>
        <w:t xml:space="preserve">1.2. В части 2.1 раздела 2 слова «региональных нормативов градостроительного проектирования для планировки жилых зон населенных пунктов Астраханской области, утвержденных постановлением Правительства Астраханской области от 03.02.2014 № 24-П» заменить словами «региональных нормативов </w:t>
      </w:r>
      <w:proofErr w:type="gramStart"/>
      <w:r>
        <w:t>градострои­тельного</w:t>
      </w:r>
      <w:proofErr w:type="gramEnd"/>
      <w:r>
        <w:t xml:space="preserve"> проектирования Астраханской области, утвержденных постановлением Правительства Астраханской области от 21.03.2018 № 109-П».</w:t>
      </w:r>
    </w:p>
    <w:p w:rsidR="00E60D5D" w:rsidRDefault="00E60D5D" w:rsidP="00E60D5D">
      <w:pPr>
        <w:pStyle w:val="a4"/>
      </w:pPr>
      <w:r>
        <w:t>1.3. Пункт 1 части 2.1 раздела 2 изложить в следующей редакции:</w:t>
      </w:r>
    </w:p>
    <w:p w:rsidR="00E60D5D" w:rsidRDefault="00E60D5D" w:rsidP="00E60D5D">
      <w:pPr>
        <w:pStyle w:val="a4"/>
      </w:pPr>
      <w:r>
        <w:t>«1)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17.05.2018 № 52.».</w:t>
      </w:r>
    </w:p>
    <w:p w:rsidR="00E60D5D" w:rsidRDefault="00E60D5D" w:rsidP="00E60D5D">
      <w:pPr>
        <w:pStyle w:val="a4"/>
      </w:pPr>
      <w:r>
        <w:t>1.4. В пункте 5.1.1 части 5.1 раздела 5 слова «учреждениями общего и специального образования» заменить словами «объектами в области образования».</w:t>
      </w:r>
    </w:p>
    <w:p w:rsidR="00E60D5D" w:rsidRDefault="00E60D5D" w:rsidP="00E60D5D">
      <w:pPr>
        <w:pStyle w:val="a4"/>
      </w:pPr>
      <w:r>
        <w:t>1.5. Таблицу № 2 пункта 5.1.1 части 5.1 раздела 5 изложить в следующей редакции:</w:t>
      </w:r>
    </w:p>
    <w:p w:rsidR="00E60D5D" w:rsidRDefault="00E60D5D" w:rsidP="00E60D5D">
      <w:pPr>
        <w:pStyle w:val="a4"/>
        <w:jc w:val="right"/>
      </w:pPr>
      <w:r>
        <w:t>Таблица № 2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726"/>
        <w:gridCol w:w="3260"/>
      </w:tblGrid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Наименование вида объекта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Ед. изм.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Расчетные показатели минимально допустимого уровня обеспеченности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Общеобразовательная организация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 xml:space="preserve">95 на 100 детей в возрасте </w:t>
            </w:r>
          </w:p>
          <w:p w:rsidR="00E60D5D" w:rsidRDefault="00E60D5D" w:rsidP="0022016F">
            <w:pPr>
              <w:pStyle w:val="a5"/>
            </w:pPr>
            <w:r>
              <w:t xml:space="preserve">от 7 до 18 лет 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Дошкольная образовательная организация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 xml:space="preserve">65 на 100 детей в возрасте </w:t>
            </w:r>
          </w:p>
          <w:p w:rsidR="00E60D5D" w:rsidRDefault="00E60D5D" w:rsidP="0022016F">
            <w:pPr>
              <w:pStyle w:val="a5"/>
            </w:pPr>
            <w:r>
              <w:t>от 0 до 7 лет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Объекты дополнительного образования: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</w:p>
          <w:p w:rsidR="00E60D5D" w:rsidRDefault="00E60D5D" w:rsidP="0022016F">
            <w:pPr>
              <w:pStyle w:val="a5"/>
            </w:pP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- на базе общеобразовательных организаций;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место</w:t>
            </w:r>
          </w:p>
          <w:p w:rsidR="00E60D5D" w:rsidRDefault="00E60D5D" w:rsidP="0022016F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 xml:space="preserve">45 на 100 детей в возрасте </w:t>
            </w:r>
          </w:p>
          <w:p w:rsidR="00E60D5D" w:rsidRDefault="00E60D5D" w:rsidP="0022016F">
            <w:pPr>
              <w:pStyle w:val="a5"/>
            </w:pPr>
            <w:r>
              <w:t>от 5 до 18 лет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- на базе общеобразовательных организаций (за исключением общеобразовательных организаций), реализующих программы дополнительного образования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 xml:space="preserve">30 на 100 детей в возрасте </w:t>
            </w:r>
          </w:p>
          <w:p w:rsidR="00E60D5D" w:rsidRDefault="00E60D5D" w:rsidP="0022016F">
            <w:pPr>
              <w:pStyle w:val="a5"/>
            </w:pPr>
            <w:r>
              <w:t>от 5 до 18 лет</w:t>
            </w:r>
          </w:p>
        </w:tc>
      </w:tr>
    </w:tbl>
    <w:p w:rsidR="00E60D5D" w:rsidRDefault="00E60D5D" w:rsidP="00E60D5D">
      <w:pPr>
        <w:pStyle w:val="a4"/>
        <w:jc w:val="right"/>
      </w:pPr>
    </w:p>
    <w:p w:rsidR="00E60D5D" w:rsidRDefault="00E60D5D" w:rsidP="00E60D5D">
      <w:pPr>
        <w:pStyle w:val="a4"/>
        <w:jc w:val="right"/>
      </w:pPr>
    </w:p>
    <w:p w:rsidR="00E60D5D" w:rsidRDefault="00E60D5D" w:rsidP="00E60D5D">
      <w:pPr>
        <w:pStyle w:val="a4"/>
      </w:pPr>
      <w:r>
        <w:t xml:space="preserve">1.6. Таблицу № 4 пункта 5.1.3 части 5.1 раздела 5 изложить в следующей редакции: </w:t>
      </w:r>
    </w:p>
    <w:p w:rsidR="00E60D5D" w:rsidRDefault="00E60D5D" w:rsidP="00E60D5D">
      <w:pPr>
        <w:pStyle w:val="a4"/>
        <w:jc w:val="right"/>
      </w:pPr>
      <w:r>
        <w:t>Таблица № 4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9"/>
        <w:gridCol w:w="1418"/>
        <w:gridCol w:w="3243"/>
      </w:tblGrid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Наименование учреждений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Ед. изм.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Расчетные показатели минимально допустимого уровня обеспеченности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Стационарные торговые объекты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кв. м общей площади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705 на 1000 жителей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Розничные рынки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место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D5D" w:rsidRDefault="00E60D5D" w:rsidP="0022016F">
            <w:pPr>
              <w:pStyle w:val="a5"/>
            </w:pPr>
            <w:r>
              <w:t>2,33 на 1000 жителей</w:t>
            </w:r>
          </w:p>
        </w:tc>
      </w:tr>
    </w:tbl>
    <w:p w:rsidR="00E60D5D" w:rsidRDefault="00E60D5D" w:rsidP="00E60D5D">
      <w:pPr>
        <w:pStyle w:val="a4"/>
        <w:jc w:val="right"/>
      </w:pPr>
      <w:r>
        <w:t xml:space="preserve"> </w:t>
      </w:r>
    </w:p>
    <w:p w:rsidR="00E60D5D" w:rsidRDefault="00E60D5D" w:rsidP="00E60D5D">
      <w:pPr>
        <w:pStyle w:val="a4"/>
      </w:pPr>
      <w:r>
        <w:t xml:space="preserve">1.7. Таблицу № 5 пункта 5.1.4 части 5.1 раздела 5 изложить в следующей редакции: </w:t>
      </w:r>
    </w:p>
    <w:p w:rsidR="00E60D5D" w:rsidRDefault="00E60D5D" w:rsidP="00E60D5D">
      <w:pPr>
        <w:pStyle w:val="a4"/>
        <w:jc w:val="right"/>
      </w:pPr>
      <w:r>
        <w:lastRenderedPageBreak/>
        <w:t>Таблица № 5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986"/>
        <w:gridCol w:w="3012"/>
      </w:tblGrid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Наименование учреждений обслуживания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Ед. изм.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Расчетные показатели минимально допустимого уровня обеспеченности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Общедоступная библиотека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объект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1 на 25000 жителей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Детская библиотека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объект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 xml:space="preserve">1 на 15 000 детей </w:t>
            </w:r>
          </w:p>
          <w:p w:rsidR="00E60D5D" w:rsidRDefault="00E60D5D" w:rsidP="0022016F">
            <w:pPr>
              <w:pStyle w:val="a5"/>
            </w:pPr>
            <w:r>
              <w:t>в возрасте до 14 лет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Кинозал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объект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1 на 15 000 жителей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Музей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объект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1 на 20 000 жителей</w:t>
            </w:r>
          </w:p>
        </w:tc>
      </w:tr>
      <w:tr w:rsidR="00E60D5D" w:rsidTr="0022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кв. м общей площади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0D5D" w:rsidRDefault="00E60D5D" w:rsidP="0022016F">
            <w:pPr>
              <w:pStyle w:val="a5"/>
            </w:pPr>
            <w:r>
              <w:t>50 на 1000 жителей</w:t>
            </w:r>
          </w:p>
        </w:tc>
      </w:tr>
    </w:tbl>
    <w:p w:rsidR="00E60D5D" w:rsidRDefault="00E60D5D" w:rsidP="00E60D5D">
      <w:pPr>
        <w:pStyle w:val="a4"/>
        <w:jc w:val="right"/>
      </w:pPr>
    </w:p>
    <w:p w:rsidR="00E60D5D" w:rsidRDefault="00E60D5D" w:rsidP="00E60D5D">
      <w:pPr>
        <w:pStyle w:val="a4"/>
      </w:pPr>
    </w:p>
    <w:p w:rsidR="00E60D5D" w:rsidRDefault="00E60D5D" w:rsidP="00E60D5D">
      <w:pPr>
        <w:pStyle w:val="a4"/>
      </w:pPr>
      <w:r>
        <w:t>1.8. В таблице № 6 пункта 5.1.5 части 5.1 раздела 5:</w:t>
      </w:r>
    </w:p>
    <w:p w:rsidR="00E60D5D" w:rsidRDefault="00E60D5D" w:rsidP="00E60D5D">
      <w:pPr>
        <w:pStyle w:val="a4"/>
      </w:pPr>
      <w:proofErr w:type="gramStart"/>
      <w:r>
        <w:t>- в строке «Спортивные залы» цифру «70» заменить цифрой «350»;</w:t>
      </w:r>
      <w:proofErr w:type="gramEnd"/>
    </w:p>
    <w:p w:rsidR="00E60D5D" w:rsidRDefault="00E60D5D" w:rsidP="00E60D5D">
      <w:pPr>
        <w:pStyle w:val="a4"/>
      </w:pPr>
      <w:r>
        <w:t>- в строке «Стадионы» слова «0,006 на 1000 жителей» заменить словами «один на городской округ».</w:t>
      </w:r>
    </w:p>
    <w:p w:rsidR="00E60D5D" w:rsidRDefault="00E60D5D" w:rsidP="00E60D5D">
      <w:pPr>
        <w:pStyle w:val="a4"/>
      </w:pPr>
      <w:r>
        <w:t>1.9. В таблице № 7 пункта 5.1.6 части 5.1 раздела 5 строку «Пожарные депо» исключить.</w:t>
      </w:r>
    </w:p>
    <w:p w:rsidR="00E60D5D" w:rsidRDefault="00E60D5D" w:rsidP="00E60D5D">
      <w:pPr>
        <w:pStyle w:val="a4"/>
      </w:pPr>
      <w:r>
        <w:t>1.10. Подпункт 2 пункта 5.1.8 части 5.1 раздела 5 изложить в следующей редакции:</w:t>
      </w:r>
    </w:p>
    <w:p w:rsidR="00E60D5D" w:rsidRDefault="00E60D5D" w:rsidP="00E60D5D">
      <w:pPr>
        <w:pStyle w:val="a4"/>
      </w:pPr>
      <w:r>
        <w:t>«2) Качественные характеристики и количественные показатели.</w:t>
      </w:r>
    </w:p>
    <w:p w:rsidR="00E60D5D" w:rsidRDefault="00E60D5D" w:rsidP="00E60D5D">
      <w:pPr>
        <w:pStyle w:val="a4"/>
      </w:pPr>
      <w:r>
        <w:t>Объекты электропотребления: 1870 кВт*</w:t>
      </w:r>
      <w:proofErr w:type="gramStart"/>
      <w:r>
        <w:t>ч</w:t>
      </w:r>
      <w:proofErr w:type="gramEnd"/>
      <w:r>
        <w:t xml:space="preserve">/год на 1 чел. </w:t>
      </w:r>
    </w:p>
    <w:p w:rsidR="00E60D5D" w:rsidRDefault="00E60D5D" w:rsidP="00E60D5D">
      <w:pPr>
        <w:pStyle w:val="a4"/>
      </w:pPr>
      <w:r>
        <w:t>Объекты газоснабжения:</w:t>
      </w:r>
    </w:p>
    <w:p w:rsidR="00E60D5D" w:rsidRDefault="00E60D5D" w:rsidP="00E60D5D">
      <w:pPr>
        <w:pStyle w:val="a4"/>
      </w:pPr>
      <w:r>
        <w:t>- при наличии централизованного горячего водоснабжения - 120 м</w:t>
      </w:r>
      <w:r>
        <w:rPr>
          <w:vertAlign w:val="superscript"/>
        </w:rPr>
        <w:t>3</w:t>
      </w:r>
      <w:r>
        <w:t xml:space="preserve">/год на 1 чел.; </w:t>
      </w:r>
    </w:p>
    <w:p w:rsidR="00E60D5D" w:rsidRDefault="00E60D5D" w:rsidP="00E60D5D">
      <w:pPr>
        <w:pStyle w:val="a4"/>
      </w:pPr>
      <w:r>
        <w:rPr>
          <w:spacing w:val="2"/>
        </w:rPr>
        <w:t>- при горячем водоснабжении от газовых водонагревателей - 300 м</w:t>
      </w:r>
      <w:r>
        <w:rPr>
          <w:spacing w:val="2"/>
          <w:vertAlign w:val="superscript"/>
        </w:rPr>
        <w:t>3</w:t>
      </w:r>
      <w:r>
        <w:rPr>
          <w:spacing w:val="2"/>
        </w:rPr>
        <w:t xml:space="preserve">/год на 1 чел.; </w:t>
      </w:r>
    </w:p>
    <w:p w:rsidR="00E60D5D" w:rsidRDefault="00E60D5D" w:rsidP="00E60D5D">
      <w:pPr>
        <w:pStyle w:val="a4"/>
      </w:pPr>
      <w:r>
        <w:t>- при отсутствии всяких видов горячего водоснабжения - 180 м</w:t>
      </w:r>
      <w:r>
        <w:rPr>
          <w:vertAlign w:val="superscript"/>
        </w:rPr>
        <w:t>3</w:t>
      </w:r>
      <w:r>
        <w:t xml:space="preserve">/год на 1 чел. </w:t>
      </w:r>
    </w:p>
    <w:p w:rsidR="00E60D5D" w:rsidRDefault="00E60D5D" w:rsidP="00E60D5D">
      <w:pPr>
        <w:pStyle w:val="a4"/>
      </w:pPr>
      <w:r>
        <w:t xml:space="preserve">Объекты теплоснабжения: </w:t>
      </w:r>
    </w:p>
    <w:p w:rsidR="00E60D5D" w:rsidRDefault="00E60D5D" w:rsidP="00E60D5D">
      <w:pPr>
        <w:pStyle w:val="a4"/>
      </w:pPr>
      <w:r>
        <w:t xml:space="preserve">- при наличии в квартире газовой плиты и централизованного горячего водоснабжения при газоснабжении природным газом - 0,97 Гкал/год на 1 чел.; </w:t>
      </w:r>
    </w:p>
    <w:p w:rsidR="00E60D5D" w:rsidRDefault="00E60D5D" w:rsidP="00E60D5D">
      <w:pPr>
        <w:pStyle w:val="a4"/>
      </w:pPr>
      <w:r>
        <w:t xml:space="preserve">- при наличии в квартире газовой плиты и газового водонагревателя (при отсутствии централизованного горячего водоснабжения) при газоснабжении природным газом - 2,4 Гкал/год на 1 чел.; </w:t>
      </w:r>
    </w:p>
    <w:p w:rsidR="00E60D5D" w:rsidRDefault="00E60D5D" w:rsidP="00E60D5D">
      <w:pPr>
        <w:pStyle w:val="a4"/>
      </w:pPr>
      <w:r>
        <w:t xml:space="preserve">- 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- 1,43 Гкал/год на 1 чел. </w:t>
      </w:r>
    </w:p>
    <w:p w:rsidR="00E60D5D" w:rsidRDefault="00E60D5D" w:rsidP="00E60D5D">
      <w:pPr>
        <w:pStyle w:val="a4"/>
      </w:pPr>
      <w:r>
        <w:t xml:space="preserve">Объекты водоснабжения: </w:t>
      </w:r>
    </w:p>
    <w:p w:rsidR="00E60D5D" w:rsidRDefault="00E60D5D" w:rsidP="00E60D5D">
      <w:pPr>
        <w:pStyle w:val="a4"/>
      </w:pPr>
      <w:r>
        <w:t>- при застройке зданиями, оборудованными внутренним водопроводом и канализацией, без ванн - 125 л/</w:t>
      </w:r>
      <w:proofErr w:type="spellStart"/>
      <w:r>
        <w:t>сут</w:t>
      </w:r>
      <w:proofErr w:type="spellEnd"/>
      <w:r>
        <w:t>. на 1 чел.;</w:t>
      </w:r>
    </w:p>
    <w:p w:rsidR="00E60D5D" w:rsidRDefault="00E60D5D" w:rsidP="00E60D5D">
      <w:pPr>
        <w:pStyle w:val="a4"/>
      </w:pPr>
      <w:r>
        <w:t>- то же, с ванными и местными водонагревателями - 160 л/</w:t>
      </w:r>
      <w:proofErr w:type="spellStart"/>
      <w:r>
        <w:t>сут</w:t>
      </w:r>
      <w:proofErr w:type="spellEnd"/>
      <w:r>
        <w:t>. на 1 чел.;</w:t>
      </w:r>
    </w:p>
    <w:p w:rsidR="00E60D5D" w:rsidRDefault="00E60D5D" w:rsidP="00E60D5D">
      <w:pPr>
        <w:pStyle w:val="a4"/>
      </w:pPr>
      <w:r>
        <w:t>- то же, с централизованным горячим водоснабжением - 220 л/</w:t>
      </w:r>
      <w:proofErr w:type="spellStart"/>
      <w:r>
        <w:t>сут</w:t>
      </w:r>
      <w:proofErr w:type="spellEnd"/>
      <w:r>
        <w:t xml:space="preserve">. на 1 чел. </w:t>
      </w:r>
    </w:p>
    <w:p w:rsidR="00E60D5D" w:rsidRDefault="00E60D5D" w:rsidP="00E60D5D">
      <w:pPr>
        <w:pStyle w:val="a4"/>
      </w:pPr>
      <w:r>
        <w:t xml:space="preserve">Объекты водоотведения: </w:t>
      </w:r>
    </w:p>
    <w:p w:rsidR="00E60D5D" w:rsidRDefault="00E60D5D" w:rsidP="00E60D5D">
      <w:pPr>
        <w:pStyle w:val="a4"/>
      </w:pPr>
      <w:r>
        <w:t>- при застройке зданиями, оборудованными внутренним водопроводом и канализацией, без ванн - 125 л/</w:t>
      </w:r>
      <w:proofErr w:type="spellStart"/>
      <w:r>
        <w:t>сут</w:t>
      </w:r>
      <w:proofErr w:type="spellEnd"/>
      <w:r>
        <w:t>. на 1 чел.;</w:t>
      </w:r>
    </w:p>
    <w:p w:rsidR="00E60D5D" w:rsidRDefault="00E60D5D" w:rsidP="00E60D5D">
      <w:pPr>
        <w:pStyle w:val="a4"/>
      </w:pPr>
      <w:r>
        <w:t>- то же, с ванными и местными водонагревателями - 160 л/</w:t>
      </w:r>
      <w:proofErr w:type="spellStart"/>
      <w:r>
        <w:t>сут</w:t>
      </w:r>
      <w:proofErr w:type="spellEnd"/>
      <w:r>
        <w:t>. на 1 чел.;</w:t>
      </w:r>
    </w:p>
    <w:p w:rsidR="00E60D5D" w:rsidRDefault="00E60D5D" w:rsidP="00E60D5D">
      <w:pPr>
        <w:pStyle w:val="a4"/>
      </w:pPr>
      <w:r>
        <w:t>- то же, с централизованным горячим водоснабжением - 220 л/</w:t>
      </w:r>
      <w:proofErr w:type="spellStart"/>
      <w:r>
        <w:t>сут</w:t>
      </w:r>
      <w:proofErr w:type="spellEnd"/>
      <w:r>
        <w:t>. на 1 чел.».</w:t>
      </w:r>
    </w:p>
    <w:p w:rsidR="00E60D5D" w:rsidRDefault="00E60D5D" w:rsidP="00E60D5D">
      <w:pPr>
        <w:pStyle w:val="a4"/>
      </w:pPr>
      <w:r>
        <w:t>1.11. В таблице № 8 пункта 5.2.1 части 5.2 раздела 5:</w:t>
      </w:r>
    </w:p>
    <w:p w:rsidR="00E60D5D" w:rsidRDefault="00E60D5D" w:rsidP="00E60D5D">
      <w:pPr>
        <w:pStyle w:val="a4"/>
      </w:pPr>
      <w:r>
        <w:t>- в строке «- поликлиники» цифру «1,5» заменить цифрой «1,0»;</w:t>
      </w:r>
    </w:p>
    <w:p w:rsidR="00E60D5D" w:rsidRDefault="00E60D5D" w:rsidP="00E60D5D">
      <w:pPr>
        <w:pStyle w:val="a4"/>
      </w:pPr>
      <w:r>
        <w:t>- в строке «- аптеки» цифру «0,8» заменить цифрой «0,5»;</w:t>
      </w:r>
    </w:p>
    <w:p w:rsidR="00E60D5D" w:rsidRDefault="00E60D5D" w:rsidP="00E60D5D">
      <w:pPr>
        <w:pStyle w:val="a4"/>
      </w:pPr>
      <w:r>
        <w:t>- в строке «Остановки общественного пассажирского транспорта» цифру «0,8» заменить цифрой «0,5».</w:t>
      </w:r>
    </w:p>
    <w:p w:rsidR="00E60D5D" w:rsidRDefault="00E60D5D" w:rsidP="00E60D5D">
      <w:pPr>
        <w:pStyle w:val="a4"/>
      </w:pPr>
      <w:r>
        <w:t>1.12. В части 6.3 раздела 6:</w:t>
      </w:r>
    </w:p>
    <w:p w:rsidR="00E60D5D" w:rsidRDefault="00E60D5D" w:rsidP="00E60D5D">
      <w:pPr>
        <w:pStyle w:val="a4"/>
      </w:pPr>
      <w:r>
        <w:t>1.12.1. По всему тексту, за исключением таблицы № 10, слова «общеобразовательные организации» в соответствующих падежах и «общеобразовательных и дошкольных образовательных организаций» в соответствующих падежах заменить словами «образовательные организации» в соответствующих падежах.</w:t>
      </w:r>
    </w:p>
    <w:p w:rsidR="00E60D5D" w:rsidRDefault="00E60D5D" w:rsidP="00E60D5D">
      <w:pPr>
        <w:pStyle w:val="a4"/>
      </w:pPr>
      <w:r>
        <w:t>1.12.2. В подпункте 2 пункта 6.3.2.1 слова «СанПиН 2.2.1/2.1.1.1200» заменить словами «СанПиН 2.2.1/2.1.1.1200-3».</w:t>
      </w:r>
    </w:p>
    <w:p w:rsidR="00E60D5D" w:rsidRDefault="00E60D5D" w:rsidP="00E60D5D">
      <w:pPr>
        <w:pStyle w:val="a4"/>
      </w:pPr>
      <w:r>
        <w:t>1.12.3. В таблице № 10:</w:t>
      </w:r>
    </w:p>
    <w:p w:rsidR="00E60D5D" w:rsidRDefault="00E60D5D" w:rsidP="00E60D5D">
      <w:pPr>
        <w:pStyle w:val="a4"/>
      </w:pPr>
      <w:r>
        <w:t>- в первой строке слова «Тип общеобразовательной организации» заменить словами «Тип образовательной организации»;</w:t>
      </w:r>
    </w:p>
    <w:p w:rsidR="00E60D5D" w:rsidRDefault="00E60D5D" w:rsidP="00E60D5D">
      <w:pPr>
        <w:pStyle w:val="a4"/>
      </w:pPr>
      <w:r>
        <w:t>- во второй строке слова «Детские дошкольные организации» заменить словами «Дошкольные образовательные организации»;</w:t>
      </w:r>
    </w:p>
    <w:p w:rsidR="00E60D5D" w:rsidRDefault="00E60D5D" w:rsidP="00E60D5D">
      <w:pPr>
        <w:pStyle w:val="a4"/>
      </w:pPr>
      <w:r>
        <w:t>- в третьей строке по тексту слова «Общеобразовательные школы» в соответствующих падежах заменить словами «Общеобразовательные организации» в соответствующих падежах;</w:t>
      </w:r>
    </w:p>
    <w:p w:rsidR="00E60D5D" w:rsidRDefault="00E60D5D" w:rsidP="00E60D5D">
      <w:pPr>
        <w:pStyle w:val="a4"/>
      </w:pPr>
      <w:r>
        <w:t>- в четвертой строке по тексту слова «Общеобразовательные школы-интернаты» в соответствующих падежах заменить словами «Образовательные организации, имеющие интернат» в соответствующих падежах;</w:t>
      </w:r>
    </w:p>
    <w:p w:rsidR="00E60D5D" w:rsidRDefault="00E60D5D" w:rsidP="00E60D5D">
      <w:pPr>
        <w:pStyle w:val="a4"/>
      </w:pPr>
      <w:r>
        <w:t>- в примечании к таблице № 10 слова «общеобразовательных организаций» заменить словами «образовательных организаций».</w:t>
      </w:r>
    </w:p>
    <w:p w:rsidR="00E60D5D" w:rsidRDefault="00E60D5D" w:rsidP="00E60D5D">
      <w:pPr>
        <w:pStyle w:val="a4"/>
      </w:pPr>
      <w:r>
        <w:t>2. Настоящие изменения в местные нормативы градостроительного проектирования муниципального образования «Город Астрахань» разместить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E60D5D" w:rsidRDefault="00E60D5D" w:rsidP="00E60D5D">
      <w:pPr>
        <w:pStyle w:val="a4"/>
      </w:pPr>
      <w:r>
        <w:lastRenderedPageBreak/>
        <w:t xml:space="preserve"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образования «Город Астрахань» в сети Интернет. </w:t>
      </w:r>
    </w:p>
    <w:p w:rsidR="00E60D5D" w:rsidRDefault="00E60D5D" w:rsidP="00E60D5D">
      <w:pPr>
        <w:pStyle w:val="a4"/>
      </w:pPr>
      <w:r>
        <w:t>4. Настоящее решение вступает в силу после его официального опубликования.</w:t>
      </w:r>
    </w:p>
    <w:p w:rsidR="00E60D5D" w:rsidRDefault="00E60D5D" w:rsidP="00E60D5D">
      <w:pPr>
        <w:pStyle w:val="a4"/>
      </w:pPr>
      <w:r>
        <w:t>5. 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 «Город Астрахань» от 04.12.2014 № 234.</w:t>
      </w:r>
    </w:p>
    <w:p w:rsidR="00E60D5D" w:rsidRDefault="00E60D5D" w:rsidP="00E60D5D">
      <w:pPr>
        <w:pStyle w:val="a4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E60D5D" w:rsidRDefault="00E60D5D" w:rsidP="00E60D5D">
      <w:pPr>
        <w:pStyle w:val="a4"/>
        <w:jc w:val="right"/>
      </w:pPr>
      <w:r>
        <w:rPr>
          <w:b/>
          <w:bCs/>
        </w:rPr>
        <w:t>А.В</w:t>
      </w:r>
      <w:r>
        <w:rPr>
          <w:b/>
          <w:bCs/>
          <w:caps/>
        </w:rPr>
        <w:t>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0"/>
    <w:rsid w:val="00226E00"/>
    <w:rsid w:val="00984FF0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60D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E60D5D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E60D5D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E60D5D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60D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E60D5D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E60D5D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E60D5D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2018-09-26T11:51:00Z</dcterms:created>
  <dcterms:modified xsi:type="dcterms:W3CDTF">2018-09-26T11:51:00Z</dcterms:modified>
</cp:coreProperties>
</file>